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6E" w:rsidRPr="00FE7B7D" w:rsidRDefault="0075666E" w:rsidP="0075666E">
      <w:pPr>
        <w:tabs>
          <w:tab w:val="left" w:pos="5606"/>
        </w:tabs>
        <w:spacing w:line="360" w:lineRule="auto"/>
        <w:ind w:right="-284"/>
        <w:rPr>
          <w:rFonts w:cs="David"/>
          <w:rtl/>
        </w:rPr>
      </w:pPr>
      <w:bookmarkStart w:id="0" w:name="_GoBack"/>
      <w:bookmarkEnd w:id="0"/>
      <w:r w:rsidRPr="00FE7B7D">
        <w:rPr>
          <w:rFonts w:cs="David" w:hint="cs"/>
          <w:b/>
          <w:bCs/>
          <w:rtl/>
        </w:rPr>
        <w:t>שם הקורס</w:t>
      </w:r>
      <w:r w:rsidRPr="00FE7B7D">
        <w:rPr>
          <w:rFonts w:cs="David" w:hint="cs"/>
          <w:rtl/>
        </w:rPr>
        <w:t xml:space="preserve">: אסטרטגיות הערכה בחינוך                  </w:t>
      </w:r>
      <w:r>
        <w:rPr>
          <w:rFonts w:cs="David" w:hint="cs"/>
          <w:rtl/>
        </w:rPr>
        <w:t xml:space="preserve">                </w:t>
      </w:r>
      <w:r w:rsidRPr="00FE7B7D">
        <w:rPr>
          <w:rFonts w:ascii="Arial" w:hAnsi="Arial" w:cs="David" w:hint="cs"/>
          <w:b/>
          <w:bCs/>
          <w:rtl/>
        </w:rPr>
        <w:t>מסלול הקורס</w:t>
      </w:r>
      <w:r w:rsidRPr="00FE7B7D">
        <w:rPr>
          <w:rFonts w:cs="David" w:hint="cs"/>
          <w:b/>
          <w:bCs/>
          <w:rtl/>
        </w:rPr>
        <w:t xml:space="preserve">: </w:t>
      </w:r>
      <w:r w:rsidRPr="00FE7B7D">
        <w:rPr>
          <w:rFonts w:cs="David" w:hint="cs"/>
          <w:rtl/>
        </w:rPr>
        <w:t xml:space="preserve">תואר שני                               </w:t>
      </w:r>
    </w:p>
    <w:p w:rsidR="0075666E" w:rsidRPr="00FE7B7D" w:rsidRDefault="0075666E" w:rsidP="0075666E">
      <w:pPr>
        <w:tabs>
          <w:tab w:val="left" w:pos="5246"/>
        </w:tabs>
        <w:spacing w:line="360" w:lineRule="auto"/>
        <w:jc w:val="both"/>
        <w:rPr>
          <w:rtl/>
        </w:rPr>
      </w:pPr>
      <w:r w:rsidRPr="00FE7B7D">
        <w:rPr>
          <w:rFonts w:cs="David" w:hint="cs"/>
          <w:b/>
          <w:bCs/>
          <w:rtl/>
        </w:rPr>
        <w:t>התמחות</w:t>
      </w:r>
      <w:r w:rsidRPr="00FE7B7D">
        <w:rPr>
          <w:rFonts w:cs="David" w:hint="cs"/>
          <w:rtl/>
        </w:rPr>
        <w:t xml:space="preserve">: </w:t>
      </w:r>
      <w:r>
        <w:rPr>
          <w:rFonts w:cs="David" w:hint="cs"/>
          <w:rtl/>
        </w:rPr>
        <w:t>הוראה ולמידה</w:t>
      </w:r>
      <w:r w:rsidRPr="00FE7B7D">
        <w:rPr>
          <w:rFonts w:cs="David" w:hint="cs"/>
          <w:b/>
          <w:bCs/>
          <w:rtl/>
        </w:rPr>
        <w:tab/>
        <w:t>שנת לימודים</w:t>
      </w:r>
      <w:r w:rsidRPr="00FE7B7D">
        <w:rPr>
          <w:rFonts w:cs="David" w:hint="cs"/>
          <w:rtl/>
        </w:rPr>
        <w:t>: שנה א'</w:t>
      </w:r>
    </w:p>
    <w:p w:rsidR="0075666E" w:rsidRPr="00FE7B7D" w:rsidRDefault="0075666E" w:rsidP="0075666E">
      <w:pPr>
        <w:tabs>
          <w:tab w:val="left" w:pos="5246"/>
        </w:tabs>
        <w:spacing w:line="360" w:lineRule="auto"/>
        <w:jc w:val="both"/>
        <w:rPr>
          <w:rFonts w:cs="David"/>
          <w:rtl/>
        </w:rPr>
      </w:pPr>
      <w:r w:rsidRPr="00FE7B7D">
        <w:rPr>
          <w:rFonts w:cs="David" w:hint="cs"/>
          <w:b/>
          <w:bCs/>
          <w:rtl/>
        </w:rPr>
        <w:t>שם המרצה</w:t>
      </w:r>
      <w:r w:rsidRPr="00FE7B7D">
        <w:rPr>
          <w:rFonts w:cs="David" w:hint="cs"/>
          <w:rtl/>
        </w:rPr>
        <w:t xml:space="preserve">: </w:t>
      </w:r>
      <w:r>
        <w:rPr>
          <w:rFonts w:cs="David" w:hint="cs"/>
          <w:rtl/>
        </w:rPr>
        <w:t>ד"ר</w:t>
      </w:r>
      <w:r w:rsidRPr="00FE7B7D">
        <w:rPr>
          <w:rFonts w:cs="David" w:hint="cs"/>
          <w:b/>
          <w:bCs/>
          <w:rtl/>
        </w:rPr>
        <w:tab/>
        <w:t>מספר ש"ס</w:t>
      </w:r>
      <w:r w:rsidRPr="00FE7B7D">
        <w:rPr>
          <w:rFonts w:cs="David" w:hint="cs"/>
          <w:rtl/>
        </w:rPr>
        <w:t xml:space="preserve">: 2    </w:t>
      </w:r>
      <w:r w:rsidRPr="00FE7B7D">
        <w:rPr>
          <w:rFonts w:cs="David" w:hint="cs"/>
          <w:b/>
          <w:bCs/>
          <w:rtl/>
        </w:rPr>
        <w:t>מס' נ"ז</w:t>
      </w:r>
      <w:r w:rsidRPr="00FE7B7D">
        <w:rPr>
          <w:rFonts w:cs="David" w:hint="cs"/>
          <w:rtl/>
        </w:rPr>
        <w:t>: 2</w:t>
      </w:r>
    </w:p>
    <w:p w:rsidR="0075666E" w:rsidRPr="00FE7B7D" w:rsidRDefault="0075666E" w:rsidP="0075666E">
      <w:pPr>
        <w:tabs>
          <w:tab w:val="left" w:pos="5246"/>
        </w:tabs>
        <w:spacing w:line="360" w:lineRule="auto"/>
        <w:jc w:val="both"/>
        <w:rPr>
          <w:rFonts w:cs="David"/>
          <w:rtl/>
        </w:rPr>
      </w:pPr>
      <w:r w:rsidRPr="00FE7B7D">
        <w:rPr>
          <w:rFonts w:cs="David" w:hint="cs"/>
          <w:b/>
          <w:bCs/>
          <w:rtl/>
        </w:rPr>
        <w:t>שפת הוראה:</w:t>
      </w:r>
      <w:r w:rsidRPr="00FE7B7D">
        <w:rPr>
          <w:rFonts w:cs="David" w:hint="cs"/>
          <w:rtl/>
        </w:rPr>
        <w:t xml:space="preserve"> ערבית</w:t>
      </w:r>
    </w:p>
    <w:p w:rsidR="0075666E" w:rsidRPr="00FE7B7D" w:rsidRDefault="0075666E" w:rsidP="0075666E">
      <w:pPr>
        <w:spacing w:line="240" w:lineRule="exact"/>
        <w:jc w:val="both"/>
        <w:rPr>
          <w:rFonts w:cs="David"/>
          <w:sz w:val="28"/>
          <w:szCs w:val="28"/>
          <w:rtl/>
        </w:rPr>
      </w:pPr>
    </w:p>
    <w:p w:rsidR="0075666E" w:rsidRPr="00C84A0F" w:rsidRDefault="0075666E" w:rsidP="0075666E">
      <w:pPr>
        <w:spacing w:line="360" w:lineRule="auto"/>
        <w:rPr>
          <w:rFonts w:cs="David"/>
          <w:b/>
          <w:bCs/>
          <w:rtl/>
        </w:rPr>
      </w:pPr>
      <w:r w:rsidRPr="00C84A0F">
        <w:rPr>
          <w:rFonts w:cs="David" w:hint="cs"/>
          <w:b/>
          <w:bCs/>
          <w:u w:val="single"/>
          <w:rtl/>
        </w:rPr>
        <w:t>תיאור הקורס</w:t>
      </w:r>
      <w:r w:rsidRPr="00C84A0F">
        <w:rPr>
          <w:rFonts w:cs="David" w:hint="cs"/>
          <w:b/>
          <w:bCs/>
          <w:rtl/>
        </w:rPr>
        <w:t>:</w:t>
      </w:r>
    </w:p>
    <w:p w:rsidR="0075666E" w:rsidRPr="00C84A0F" w:rsidRDefault="0075666E" w:rsidP="0075666E">
      <w:pPr>
        <w:spacing w:line="360" w:lineRule="auto"/>
        <w:jc w:val="both"/>
        <w:rPr>
          <w:rFonts w:cs="David"/>
          <w:rtl/>
        </w:rPr>
      </w:pPr>
      <w:r w:rsidRPr="00C84A0F">
        <w:rPr>
          <w:rFonts w:cs="David" w:hint="cs"/>
          <w:rtl/>
        </w:rPr>
        <w:t>הערכה היא מונח הכולל מגוון של שיטות ודרכים לקבלת מידע אודות הלמידה של התלמיד ואת השיפוט הערכי לגבי התקדמותו בלימודים. דרכי הערכה בחינוך ובמיוחד השימוש במידע המתקבל מהערכה מעוררים דילמות רבות. השימוש בדילמות באמצעות ניתוח אירועים הוא כלי דידקטי יעיל משום האותנטיות והמעורבות הפעילה של הלומדים בדיונים, המאפשרים להם להביא את ניסיונם לתהליך למידת הנושא. בקורס יידונו סוגיות ודילמות הנוגעות להערכת תלמידים, לניתוח נתוני ההערכה והשימוש בהם. לדוגמה: הערכה על פי הגישה הכמותנית (הפרדיגמה הפסיכומטרית) לעומת הגישה האיכותנית (הגישה הקונטקסטואלית), הערכה דיפרנציאלית של תלמידים בכיתה; נימוקי תלמידים להסבר כישלונות בהישגים; שיתוף התלמידים בתהליכי ההערכה, הערכה על פי גישות כמותניות (הפרדיגמה הפסיכומטרית) וגישות איכותניות (הפרדיגמה הקונטקטואלית) ועוד.</w:t>
      </w:r>
    </w:p>
    <w:p w:rsidR="0075666E" w:rsidRPr="00C84A0F" w:rsidRDefault="0075666E" w:rsidP="0075666E">
      <w:pPr>
        <w:spacing w:line="360" w:lineRule="auto"/>
        <w:ind w:left="26"/>
        <w:jc w:val="both"/>
        <w:rPr>
          <w:rFonts w:ascii="Arial" w:hAnsi="Arial" w:cs="David"/>
          <w:rtl/>
          <w:lang w:eastAsia="en-US" w:bidi="ar-SA"/>
        </w:rPr>
      </w:pPr>
      <w:r w:rsidRPr="00C84A0F">
        <w:rPr>
          <w:rFonts w:ascii="Arial" w:hAnsi="Arial" w:cs="David"/>
          <w:rtl/>
          <w:lang w:eastAsia="en-US"/>
        </w:rPr>
        <w:t>המטרה המרכזית של הקורס היא להבנות תשתית ידע רחבה ועדכנית על היבטים</w:t>
      </w:r>
      <w:r w:rsidRPr="00C84A0F">
        <w:rPr>
          <w:rFonts w:ascii="Arial" w:hAnsi="Arial" w:cs="David"/>
          <w:rtl/>
          <w:lang w:eastAsia="en-US" w:bidi="ar-SA"/>
        </w:rPr>
        <w:t xml:space="preserve"> </w:t>
      </w:r>
      <w:r w:rsidRPr="00C84A0F">
        <w:rPr>
          <w:rFonts w:ascii="Arial" w:hAnsi="Arial" w:cs="David"/>
          <w:rtl/>
          <w:lang w:eastAsia="en-US"/>
        </w:rPr>
        <w:t>הקשורים לתחום ההערכה החינוכית ולזיקות בינו ובין היבטים הקשורים למדיניות החינוך,</w:t>
      </w:r>
      <w:r w:rsidRPr="00C84A0F">
        <w:rPr>
          <w:rFonts w:ascii="Arial" w:hAnsi="Arial" w:cs="David"/>
          <w:rtl/>
          <w:lang w:eastAsia="en-US" w:bidi="ar-SA"/>
        </w:rPr>
        <w:t xml:space="preserve"> </w:t>
      </w:r>
      <w:r w:rsidRPr="00C84A0F">
        <w:rPr>
          <w:rFonts w:ascii="Arial" w:hAnsi="Arial" w:cs="David"/>
          <w:rtl/>
          <w:lang w:eastAsia="en-US"/>
        </w:rPr>
        <w:t>לתהליכי שינוי ולתהליכי הוראה ולמידה. יודגש תהליך יצירה והבניה של</w:t>
      </w:r>
      <w:r w:rsidRPr="00C84A0F">
        <w:rPr>
          <w:rFonts w:ascii="Arial" w:hAnsi="Arial" w:cs="David"/>
          <w:rtl/>
          <w:lang w:eastAsia="en-US" w:bidi="ar-SA"/>
        </w:rPr>
        <w:t xml:space="preserve"> </w:t>
      </w:r>
      <w:r w:rsidRPr="00C84A0F">
        <w:rPr>
          <w:rFonts w:ascii="Arial" w:hAnsi="Arial" w:cs="David"/>
          <w:rtl/>
          <w:lang w:eastAsia="en-US"/>
        </w:rPr>
        <w:t>ידע שיתופי, המושתת על אינטגרציה בין ידע תיאורטי בתחום ההערכה לבין ידע</w:t>
      </w:r>
      <w:r w:rsidRPr="00C84A0F">
        <w:rPr>
          <w:rFonts w:ascii="Arial" w:hAnsi="Arial" w:cs="David"/>
          <w:rtl/>
          <w:lang w:eastAsia="en-US" w:bidi="ar-SA"/>
        </w:rPr>
        <w:t xml:space="preserve"> </w:t>
      </w:r>
      <w:r w:rsidRPr="00C84A0F">
        <w:rPr>
          <w:rFonts w:ascii="Arial" w:hAnsi="Arial" w:cs="David"/>
          <w:rtl/>
          <w:lang w:eastAsia="en-US"/>
        </w:rPr>
        <w:t>מקצועי-פרקטי הנובע מהתנסות בשדה החינוכי. ההתנסויות בקורס יאפשרו ל</w:t>
      </w:r>
      <w:r w:rsidRPr="00C84A0F">
        <w:rPr>
          <w:rFonts w:ascii="Arial" w:hAnsi="Arial" w:cs="David" w:hint="cs"/>
          <w:rtl/>
          <w:lang w:eastAsia="en-US"/>
        </w:rPr>
        <w:t>סטודנטים</w:t>
      </w:r>
      <w:r w:rsidRPr="00C84A0F">
        <w:rPr>
          <w:rFonts w:ascii="Arial" w:hAnsi="Arial" w:cs="David"/>
          <w:rtl/>
          <w:lang w:eastAsia="en-US"/>
        </w:rPr>
        <w:t xml:space="preserve"> למפות</w:t>
      </w:r>
      <w:r w:rsidRPr="00C84A0F">
        <w:rPr>
          <w:rFonts w:ascii="Arial" w:hAnsi="Arial" w:cs="David"/>
          <w:rtl/>
          <w:lang w:eastAsia="en-US" w:bidi="ar-SA"/>
        </w:rPr>
        <w:t xml:space="preserve"> </w:t>
      </w:r>
      <w:r w:rsidRPr="00C84A0F">
        <w:rPr>
          <w:rFonts w:ascii="Arial" w:hAnsi="Arial" w:cs="David"/>
          <w:rtl/>
          <w:lang w:eastAsia="en-US"/>
        </w:rPr>
        <w:t>באופן ביקורתי וקונסטרוקטיבי את הקשרי הפעולה שלהם כמלמדים וכמעריכים ולפתח את</w:t>
      </w:r>
      <w:r w:rsidRPr="00C84A0F">
        <w:rPr>
          <w:rFonts w:ascii="Arial" w:hAnsi="Arial" w:cs="David"/>
          <w:rtl/>
          <w:lang w:eastAsia="en-US" w:bidi="ar-SA"/>
        </w:rPr>
        <w:t xml:space="preserve"> </w:t>
      </w:r>
      <w:r w:rsidRPr="00C84A0F">
        <w:rPr>
          <w:rFonts w:ascii="Arial" w:hAnsi="Arial" w:cs="David"/>
          <w:rtl/>
          <w:lang w:eastAsia="en-US"/>
        </w:rPr>
        <w:t xml:space="preserve">מודעותם לגבי </w:t>
      </w:r>
      <w:r w:rsidRPr="00C84A0F">
        <w:rPr>
          <w:rFonts w:ascii="Arial" w:hAnsi="Arial" w:cs="David" w:hint="cs"/>
          <w:rtl/>
          <w:lang w:eastAsia="en-US"/>
        </w:rPr>
        <w:t>ה</w:t>
      </w:r>
      <w:r w:rsidRPr="00C84A0F">
        <w:rPr>
          <w:rFonts w:ascii="Arial" w:hAnsi="Arial" w:cs="David"/>
          <w:rtl/>
          <w:lang w:eastAsia="en-US"/>
        </w:rPr>
        <w:t>הנחות המנחות אותם כמעריכים בסביבות</w:t>
      </w:r>
      <w:r w:rsidRPr="00C84A0F">
        <w:rPr>
          <w:rFonts w:ascii="Arial" w:hAnsi="Arial" w:cs="David"/>
          <w:rtl/>
          <w:lang w:eastAsia="en-US" w:bidi="ar-SA"/>
        </w:rPr>
        <w:t xml:space="preserve"> </w:t>
      </w:r>
      <w:r w:rsidRPr="00C84A0F">
        <w:rPr>
          <w:rFonts w:ascii="Arial" w:hAnsi="Arial" w:cs="David"/>
          <w:rtl/>
          <w:lang w:eastAsia="en-US"/>
        </w:rPr>
        <w:t>חינוכיות.</w:t>
      </w:r>
    </w:p>
    <w:p w:rsidR="0075666E" w:rsidRPr="00C84A0F" w:rsidRDefault="0075666E" w:rsidP="0075666E">
      <w:pPr>
        <w:spacing w:line="240" w:lineRule="exact"/>
        <w:jc w:val="both"/>
        <w:rPr>
          <w:rFonts w:cs="David"/>
          <w:u w:val="single"/>
          <w:rtl/>
          <w:lang w:bidi="ar-SA"/>
        </w:rPr>
      </w:pPr>
    </w:p>
    <w:p w:rsidR="0075666E" w:rsidRPr="00C84A0F" w:rsidRDefault="0075666E" w:rsidP="0075666E">
      <w:pPr>
        <w:spacing w:line="360" w:lineRule="auto"/>
        <w:rPr>
          <w:rFonts w:cs="David"/>
          <w:b/>
          <w:bCs/>
          <w:rtl/>
        </w:rPr>
      </w:pPr>
      <w:r w:rsidRPr="00C84A0F">
        <w:rPr>
          <w:rFonts w:cs="David" w:hint="cs"/>
          <w:b/>
          <w:bCs/>
          <w:u w:val="single"/>
          <w:rtl/>
        </w:rPr>
        <w:t>מטרות הקורס</w:t>
      </w:r>
      <w:r w:rsidRPr="00C84A0F">
        <w:rPr>
          <w:rFonts w:cs="David" w:hint="cs"/>
          <w:b/>
          <w:bCs/>
          <w:rtl/>
        </w:rPr>
        <w:t>:</w:t>
      </w:r>
    </w:p>
    <w:p w:rsidR="0075666E" w:rsidRPr="00C84A0F" w:rsidRDefault="0075666E" w:rsidP="0075666E">
      <w:pPr>
        <w:numPr>
          <w:ilvl w:val="0"/>
          <w:numId w:val="1"/>
        </w:numPr>
        <w:spacing w:line="360" w:lineRule="auto"/>
        <w:ind w:right="0"/>
        <w:rPr>
          <w:rFonts w:cs="David"/>
          <w:rtl/>
        </w:rPr>
      </w:pPr>
      <w:r w:rsidRPr="00C84A0F">
        <w:rPr>
          <w:rFonts w:cs="David" w:hint="cs"/>
          <w:rtl/>
        </w:rPr>
        <w:t>הסטודנט ידע לתכנן מערכים להכנת מבחנים ודרכים לחיבורם.</w:t>
      </w:r>
    </w:p>
    <w:p w:rsidR="0075666E" w:rsidRPr="00C84A0F" w:rsidRDefault="0075666E" w:rsidP="0075666E">
      <w:pPr>
        <w:numPr>
          <w:ilvl w:val="0"/>
          <w:numId w:val="1"/>
        </w:numPr>
        <w:spacing w:line="360" w:lineRule="auto"/>
        <w:ind w:right="0"/>
        <w:rPr>
          <w:rFonts w:cs="David"/>
        </w:rPr>
      </w:pPr>
      <w:r w:rsidRPr="00C84A0F">
        <w:rPr>
          <w:rFonts w:cs="David" w:hint="cs"/>
          <w:rtl/>
        </w:rPr>
        <w:t>הסטודנט ינסח שאלות ברמות קושי ורמות חשיבה שונות.</w:t>
      </w:r>
    </w:p>
    <w:p w:rsidR="0075666E" w:rsidRPr="00C84A0F" w:rsidRDefault="0075666E" w:rsidP="0075666E">
      <w:pPr>
        <w:numPr>
          <w:ilvl w:val="0"/>
          <w:numId w:val="1"/>
        </w:numPr>
        <w:spacing w:line="360" w:lineRule="auto"/>
        <w:ind w:right="0"/>
        <w:rPr>
          <w:rFonts w:cs="David"/>
        </w:rPr>
      </w:pPr>
      <w:r w:rsidRPr="00C84A0F">
        <w:rPr>
          <w:rFonts w:cs="David" w:hint="cs"/>
          <w:rtl/>
        </w:rPr>
        <w:t>הסטודנט ידע לחבר מבחנים בדרגות שונות של קושי ומורכבות, ויכיר כלי הערכה חלופיים ואת השיקולים לשימוש בהם.</w:t>
      </w:r>
    </w:p>
    <w:p w:rsidR="0075666E" w:rsidRPr="00C84A0F" w:rsidRDefault="0075666E" w:rsidP="0075666E">
      <w:pPr>
        <w:numPr>
          <w:ilvl w:val="0"/>
          <w:numId w:val="1"/>
        </w:numPr>
        <w:spacing w:line="360" w:lineRule="auto"/>
        <w:ind w:right="0"/>
        <w:rPr>
          <w:rFonts w:cs="David"/>
        </w:rPr>
      </w:pPr>
      <w:r w:rsidRPr="00C84A0F">
        <w:rPr>
          <w:rFonts w:cs="David" w:hint="cs"/>
          <w:rtl/>
        </w:rPr>
        <w:t xml:space="preserve">הסטודנט יכיר את "תורת המבחנים הפוסט-מודרנית": ויבין את הקונטקסט המתאים לפיתוח הערכה חלופית. </w:t>
      </w:r>
    </w:p>
    <w:p w:rsidR="0075666E" w:rsidRPr="00C84A0F" w:rsidRDefault="0075666E" w:rsidP="0075666E">
      <w:pPr>
        <w:numPr>
          <w:ilvl w:val="0"/>
          <w:numId w:val="1"/>
        </w:numPr>
        <w:spacing w:line="360" w:lineRule="auto"/>
        <w:ind w:right="0"/>
        <w:rPr>
          <w:rFonts w:cs="David"/>
          <w:rtl/>
        </w:rPr>
      </w:pPr>
      <w:r w:rsidRPr="00C84A0F">
        <w:rPr>
          <w:rFonts w:cs="David" w:hint="cs"/>
          <w:rtl/>
        </w:rPr>
        <w:t>הסטודנט י</w:t>
      </w:r>
      <w:r w:rsidRPr="00C84A0F">
        <w:rPr>
          <w:rFonts w:ascii="Arial" w:hAnsi="Arial" w:cs="David" w:hint="cs"/>
          <w:rtl/>
        </w:rPr>
        <w:t>עסוק בסוגיות הקשורות להערכה קובעת (</w:t>
      </w:r>
      <w:r w:rsidRPr="00C84A0F">
        <w:t>high stakes</w:t>
      </w:r>
      <w:r w:rsidRPr="00C84A0F">
        <w:rPr>
          <w:rFonts w:ascii="Arial" w:hAnsi="Arial" w:cs="David" w:hint="cs"/>
          <w:rtl/>
        </w:rPr>
        <w:t>)</w:t>
      </w:r>
      <w:r w:rsidRPr="00C84A0F">
        <w:rPr>
          <w:rFonts w:cs="David" w:hint="cs"/>
          <w:rtl/>
        </w:rPr>
        <w:t>.</w:t>
      </w:r>
    </w:p>
    <w:p w:rsidR="0075666E" w:rsidRPr="00C84A0F" w:rsidRDefault="0075666E" w:rsidP="0075666E">
      <w:pPr>
        <w:spacing w:line="240" w:lineRule="exact"/>
        <w:jc w:val="both"/>
        <w:rPr>
          <w:rFonts w:cs="David"/>
          <w:b/>
          <w:bCs/>
          <w:u w:val="single"/>
          <w:rtl/>
        </w:rPr>
      </w:pPr>
    </w:p>
    <w:p w:rsidR="0075666E" w:rsidRPr="00C84A0F" w:rsidRDefault="0075666E" w:rsidP="0075666E">
      <w:pPr>
        <w:spacing w:line="360" w:lineRule="auto"/>
        <w:ind w:left="26"/>
        <w:rPr>
          <w:rFonts w:cs="David"/>
          <w:rtl/>
        </w:rPr>
      </w:pPr>
      <w:r w:rsidRPr="00C84A0F">
        <w:rPr>
          <w:rFonts w:cs="David" w:hint="cs"/>
          <w:b/>
          <w:bCs/>
          <w:u w:val="single"/>
          <w:rtl/>
        </w:rPr>
        <w:t>סוג הקורס</w:t>
      </w:r>
      <w:r w:rsidRPr="00C84A0F">
        <w:rPr>
          <w:rFonts w:cs="David" w:hint="cs"/>
          <w:rtl/>
        </w:rPr>
        <w:t>: שיעור ותרגיל</w:t>
      </w:r>
      <w:r>
        <w:rPr>
          <w:rFonts w:cs="David" w:hint="cs"/>
          <w:rtl/>
        </w:rPr>
        <w:t xml:space="preserve">- </w:t>
      </w:r>
      <w:r w:rsidRPr="00DA662D">
        <w:rPr>
          <w:rFonts w:cs="David" w:hint="cs"/>
          <w:b/>
          <w:bCs/>
          <w:rtl/>
        </w:rPr>
        <w:t>קורס חובה</w:t>
      </w:r>
    </w:p>
    <w:p w:rsidR="0075666E" w:rsidRPr="00C84A0F" w:rsidRDefault="0075666E" w:rsidP="0075666E">
      <w:pPr>
        <w:spacing w:line="240" w:lineRule="exact"/>
        <w:jc w:val="both"/>
        <w:rPr>
          <w:rFonts w:cs="David"/>
          <w:b/>
          <w:bCs/>
          <w:u w:val="single"/>
          <w:rtl/>
        </w:rPr>
      </w:pPr>
    </w:p>
    <w:p w:rsidR="0075666E" w:rsidRPr="00C84A0F" w:rsidRDefault="0075666E" w:rsidP="0075666E">
      <w:pPr>
        <w:spacing w:line="360" w:lineRule="auto"/>
        <w:ind w:left="26"/>
        <w:jc w:val="both"/>
        <w:rPr>
          <w:rFonts w:cs="David"/>
          <w:rtl/>
        </w:rPr>
      </w:pPr>
      <w:r w:rsidRPr="00C84A0F">
        <w:rPr>
          <w:rFonts w:cs="David" w:hint="cs"/>
          <w:b/>
          <w:bCs/>
          <w:u w:val="single"/>
          <w:rtl/>
        </w:rPr>
        <w:t>דרכי הוראה</w:t>
      </w:r>
      <w:r w:rsidRPr="00C84A0F">
        <w:rPr>
          <w:rFonts w:cs="David" w:hint="cs"/>
          <w:rtl/>
        </w:rPr>
        <w:t>: הרצאות, עבודה בקבוצות ודיונים. הלמידה תתבסס על שילוב התנסויות מעשיות ולימוד עיוני תוך הדגשת עבודות צוות, תכלול קריאה ודיון בחומר עיוני, פעילות סדנאית של התנסויות בכלי הערכה, ניתוח ובפירוש מידע הערכה.</w:t>
      </w:r>
    </w:p>
    <w:p w:rsidR="0075666E" w:rsidRPr="00C84A0F" w:rsidRDefault="0075666E" w:rsidP="0075666E">
      <w:pPr>
        <w:spacing w:line="240" w:lineRule="exact"/>
        <w:jc w:val="both"/>
        <w:rPr>
          <w:b/>
          <w:bCs/>
          <w:u w:val="single"/>
          <w:rtl/>
        </w:rPr>
      </w:pPr>
    </w:p>
    <w:p w:rsidR="0075666E" w:rsidRPr="00C84A0F" w:rsidRDefault="0075666E" w:rsidP="0075666E">
      <w:pPr>
        <w:spacing w:line="360" w:lineRule="auto"/>
        <w:ind w:left="26"/>
        <w:rPr>
          <w:rFonts w:cs="David"/>
          <w:rtl/>
        </w:rPr>
      </w:pPr>
      <w:r w:rsidRPr="00C84A0F">
        <w:rPr>
          <w:rFonts w:cs="David" w:hint="cs"/>
          <w:b/>
          <w:bCs/>
          <w:u w:val="single"/>
          <w:rtl/>
        </w:rPr>
        <w:lastRenderedPageBreak/>
        <w:t>דרישות הקורס</w:t>
      </w:r>
      <w:r w:rsidRPr="00C84A0F">
        <w:rPr>
          <w:rFonts w:cs="David" w:hint="cs"/>
          <w:rtl/>
        </w:rPr>
        <w:t>: נוכחות, השתתפות פעילה וקריאת מקורות רלוונטיים.</w:t>
      </w:r>
    </w:p>
    <w:p w:rsidR="0075666E" w:rsidRPr="00C84A0F" w:rsidRDefault="0075666E" w:rsidP="0075666E">
      <w:pPr>
        <w:spacing w:line="360" w:lineRule="auto"/>
        <w:rPr>
          <w:rFonts w:cs="David"/>
          <w:rtl/>
        </w:rPr>
      </w:pPr>
      <w:r w:rsidRPr="00C84A0F">
        <w:rPr>
          <w:rFonts w:cs="David" w:hint="cs"/>
          <w:b/>
          <w:bCs/>
          <w:u w:val="single"/>
          <w:rtl/>
        </w:rPr>
        <w:t>דרכי הערכה</w:t>
      </w:r>
      <w:r w:rsidRPr="00C84A0F">
        <w:rPr>
          <w:rFonts w:cs="David" w:hint="cs"/>
          <w:rtl/>
        </w:rPr>
        <w:t>:</w:t>
      </w:r>
    </w:p>
    <w:p w:rsidR="0075666E" w:rsidRPr="00C84A0F" w:rsidRDefault="0075666E" w:rsidP="0075666E">
      <w:pPr>
        <w:spacing w:line="360" w:lineRule="auto"/>
        <w:rPr>
          <w:rFonts w:ascii="Arial" w:hAnsi="Arial" w:cs="David"/>
          <w:b/>
          <w:bCs/>
          <w:rtl/>
        </w:rPr>
      </w:pPr>
      <w:r w:rsidRPr="00C84A0F">
        <w:rPr>
          <w:rFonts w:cs="David" w:hint="cs"/>
          <w:rtl/>
        </w:rPr>
        <w:t xml:space="preserve">  40% תרגילים, כל סטודנט יגיש שני תרגילים (לכל תרגיל 20%): אחד בניתוח  מבחן שבודק סטנדרטים של תוכן וביצועי הבנה גבוהים, והשני הכנת כלי הערכה חלופית. </w:t>
      </w:r>
      <w:r w:rsidRPr="00C84A0F">
        <w:rPr>
          <w:rFonts w:ascii="Arial" w:hAnsi="Arial" w:cs="David" w:hint="cs"/>
          <w:rtl/>
        </w:rPr>
        <w:t>(הגשת התרגילים בזוגות).</w:t>
      </w:r>
    </w:p>
    <w:p w:rsidR="0075666E" w:rsidRDefault="0075666E" w:rsidP="0075666E">
      <w:pPr>
        <w:spacing w:line="360" w:lineRule="auto"/>
        <w:rPr>
          <w:rFonts w:cs="David"/>
          <w:rtl/>
        </w:rPr>
      </w:pPr>
      <w:r w:rsidRPr="00C84A0F">
        <w:rPr>
          <w:rFonts w:cs="David" w:hint="cs"/>
          <w:rtl/>
        </w:rPr>
        <w:t>60% מבחן מסכם.</w:t>
      </w:r>
    </w:p>
    <w:p w:rsidR="0075666E" w:rsidRPr="00C84A0F" w:rsidRDefault="0075666E" w:rsidP="0075666E">
      <w:pPr>
        <w:spacing w:line="360" w:lineRule="auto"/>
        <w:rPr>
          <w:rFonts w:cs="David"/>
          <w:rtl/>
        </w:rPr>
      </w:pPr>
      <w:r w:rsidRPr="00C84A0F">
        <w:rPr>
          <w:rFonts w:ascii="Arial" w:hAnsi="Arial" w:cs="David" w:hint="cs"/>
          <w:b/>
          <w:bCs/>
          <w:rtl/>
        </w:rPr>
        <w:t xml:space="preserve">ציון מעבר </w:t>
      </w:r>
      <w:r>
        <w:rPr>
          <w:rFonts w:ascii="Arial" w:hAnsi="Arial" w:cs="David" w:hint="cs"/>
          <w:b/>
          <w:bCs/>
          <w:rtl/>
        </w:rPr>
        <w:t>בכל</w:t>
      </w:r>
      <w:r w:rsidRPr="00C84A0F">
        <w:rPr>
          <w:rFonts w:ascii="Arial" w:hAnsi="Arial" w:cs="David" w:hint="cs"/>
          <w:b/>
          <w:bCs/>
          <w:rtl/>
        </w:rPr>
        <w:t xml:space="preserve"> </w:t>
      </w:r>
      <w:r>
        <w:rPr>
          <w:rFonts w:ascii="Arial" w:hAnsi="Arial" w:cs="David" w:hint="cs"/>
          <w:b/>
          <w:bCs/>
          <w:rtl/>
        </w:rPr>
        <w:t>משימות ההערכה הוא</w:t>
      </w:r>
      <w:r w:rsidRPr="00C84A0F">
        <w:rPr>
          <w:rFonts w:ascii="Arial" w:hAnsi="Arial" w:cs="David" w:hint="cs"/>
          <w:b/>
          <w:bCs/>
          <w:rtl/>
        </w:rPr>
        <w:t xml:space="preserve"> 60 לפחות.</w:t>
      </w:r>
    </w:p>
    <w:p w:rsidR="0075666E" w:rsidRPr="00C84A0F" w:rsidRDefault="0075666E" w:rsidP="0075666E">
      <w:pPr>
        <w:spacing w:line="360" w:lineRule="auto"/>
        <w:ind w:left="26"/>
        <w:jc w:val="center"/>
        <w:rPr>
          <w:rFonts w:cs="David"/>
          <w:b/>
          <w:bCs/>
          <w:u w:val="single"/>
          <w:rtl/>
        </w:rPr>
      </w:pPr>
      <w:r w:rsidRPr="00C84A0F">
        <w:rPr>
          <w:rFonts w:cs="David"/>
          <w:b/>
          <w:bCs/>
          <w:u w:val="single"/>
          <w:rtl/>
        </w:rPr>
        <w:t>פירוט תכנית הלימודים של הקורס</w:t>
      </w:r>
      <w:r w:rsidRPr="00C84A0F">
        <w:rPr>
          <w:rFonts w:cs="David" w:hint="cs"/>
          <w:b/>
          <w:bCs/>
          <w:u w:val="single"/>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5092"/>
        <w:gridCol w:w="2088"/>
      </w:tblGrid>
      <w:tr w:rsidR="0075666E" w:rsidRPr="00C84A0F" w:rsidTr="001811A5">
        <w:tc>
          <w:tcPr>
            <w:tcW w:w="1342" w:type="dxa"/>
            <w:shd w:val="clear" w:color="auto" w:fill="BFBFBF"/>
          </w:tcPr>
          <w:p w:rsidR="0075666E" w:rsidRPr="00C84A0F" w:rsidRDefault="0075666E" w:rsidP="001811A5">
            <w:pPr>
              <w:keepNext/>
              <w:jc w:val="center"/>
              <w:outlineLvl w:val="2"/>
              <w:rPr>
                <w:rFonts w:cs="David"/>
                <w:b/>
                <w:bCs/>
              </w:rPr>
            </w:pPr>
            <w:r w:rsidRPr="00C84A0F">
              <w:rPr>
                <w:rFonts w:cs="David" w:hint="cs"/>
                <w:b/>
                <w:bCs/>
                <w:rtl/>
              </w:rPr>
              <w:t>מס' מפגש</w:t>
            </w:r>
          </w:p>
        </w:tc>
        <w:tc>
          <w:tcPr>
            <w:tcW w:w="5092" w:type="dxa"/>
            <w:shd w:val="clear" w:color="auto" w:fill="BFBFBF"/>
          </w:tcPr>
          <w:p w:rsidR="0075666E" w:rsidRPr="00C84A0F" w:rsidRDefault="0075666E" w:rsidP="001811A5">
            <w:pPr>
              <w:jc w:val="center"/>
              <w:rPr>
                <w:b/>
                <w:bCs/>
                <w:rtl/>
                <w:lang w:bidi="ar-SA"/>
              </w:rPr>
            </w:pPr>
            <w:r w:rsidRPr="00C84A0F">
              <w:rPr>
                <w:rFonts w:cs="David" w:hint="cs"/>
                <w:b/>
                <w:bCs/>
                <w:rtl/>
                <w:lang w:bidi="ar-SA"/>
              </w:rPr>
              <w:t xml:space="preserve"> </w:t>
            </w:r>
            <w:r w:rsidRPr="00C84A0F">
              <w:rPr>
                <w:rFonts w:cs="David" w:hint="cs"/>
                <w:b/>
                <w:bCs/>
                <w:rtl/>
              </w:rPr>
              <w:t>נושא</w:t>
            </w:r>
            <w:r w:rsidRPr="00C84A0F">
              <w:rPr>
                <w:rFonts w:cs="David" w:hint="cs"/>
                <w:b/>
                <w:bCs/>
                <w:rtl/>
                <w:lang w:bidi="ar-SA"/>
              </w:rPr>
              <w:t xml:space="preserve"> </w:t>
            </w:r>
            <w:r w:rsidRPr="00C84A0F">
              <w:rPr>
                <w:rFonts w:cs="David" w:hint="cs"/>
                <w:b/>
                <w:bCs/>
                <w:rtl/>
              </w:rPr>
              <w:t>המפגש</w:t>
            </w:r>
          </w:p>
        </w:tc>
        <w:tc>
          <w:tcPr>
            <w:tcW w:w="2088" w:type="dxa"/>
            <w:shd w:val="clear" w:color="auto" w:fill="BFBFBF"/>
          </w:tcPr>
          <w:p w:rsidR="0075666E" w:rsidRPr="00C84A0F" w:rsidRDefault="0075666E" w:rsidP="001811A5">
            <w:pPr>
              <w:jc w:val="center"/>
              <w:rPr>
                <w:rFonts w:cs="David"/>
                <w:b/>
                <w:bCs/>
                <w:rtl/>
              </w:rPr>
            </w:pPr>
            <w:r w:rsidRPr="00C84A0F">
              <w:rPr>
                <w:rFonts w:cs="David" w:hint="cs"/>
                <w:b/>
                <w:bCs/>
                <w:rtl/>
              </w:rPr>
              <w:t>קריאת חובה</w:t>
            </w:r>
          </w:p>
        </w:tc>
      </w:tr>
      <w:tr w:rsidR="0075666E" w:rsidRPr="00C84A0F" w:rsidTr="001811A5">
        <w:tc>
          <w:tcPr>
            <w:tcW w:w="1342" w:type="dxa"/>
          </w:tcPr>
          <w:p w:rsidR="0075666E" w:rsidRPr="00C84A0F" w:rsidRDefault="0075666E" w:rsidP="001811A5">
            <w:pPr>
              <w:jc w:val="center"/>
              <w:rPr>
                <w:rFonts w:cs="David"/>
                <w:b/>
                <w:bCs/>
              </w:rPr>
            </w:pPr>
            <w:r w:rsidRPr="00C84A0F">
              <w:rPr>
                <w:rFonts w:cs="David" w:hint="cs"/>
                <w:b/>
                <w:bCs/>
                <w:rtl/>
              </w:rPr>
              <w:t>1</w:t>
            </w:r>
          </w:p>
        </w:tc>
        <w:tc>
          <w:tcPr>
            <w:tcW w:w="5092" w:type="dxa"/>
          </w:tcPr>
          <w:p w:rsidR="0075666E" w:rsidRPr="00C84A0F" w:rsidRDefault="0075666E" w:rsidP="001811A5">
            <w:pPr>
              <w:spacing w:line="360" w:lineRule="auto"/>
              <w:ind w:right="72"/>
              <w:rPr>
                <w:rFonts w:cs="David"/>
                <w:rtl/>
              </w:rPr>
            </w:pPr>
            <w:r w:rsidRPr="00C84A0F">
              <w:rPr>
                <w:rFonts w:cs="David" w:hint="cs"/>
                <w:rtl/>
              </w:rPr>
              <w:t>תיאום ציפיות והגדרת מטרות ודרישות.</w:t>
            </w:r>
          </w:p>
          <w:p w:rsidR="0075666E" w:rsidRPr="00C84A0F" w:rsidRDefault="0075666E" w:rsidP="001811A5">
            <w:pPr>
              <w:spacing w:line="360" w:lineRule="auto"/>
              <w:ind w:right="72"/>
              <w:rPr>
                <w:rFonts w:cs="David"/>
              </w:rPr>
            </w:pPr>
            <w:r w:rsidRPr="00C84A0F">
              <w:rPr>
                <w:rFonts w:cs="David" w:hint="cs"/>
                <w:rtl/>
              </w:rPr>
              <w:t>מבוא כללי: גישות להערכת הישגים והתפיסות החינוכיות המנחות אותן.</w:t>
            </w:r>
          </w:p>
        </w:tc>
        <w:tc>
          <w:tcPr>
            <w:tcW w:w="2088" w:type="dxa"/>
          </w:tcPr>
          <w:p w:rsidR="0075666E" w:rsidRPr="00C84A0F" w:rsidRDefault="0075666E" w:rsidP="001811A5">
            <w:pPr>
              <w:keepNext/>
              <w:spacing w:before="240" w:after="60"/>
              <w:outlineLvl w:val="2"/>
              <w:rPr>
                <w:rFonts w:ascii="Arial" w:hAnsi="Arial" w:cs="Arial"/>
                <w:b/>
                <w:bCs/>
                <w:rtl/>
              </w:rPr>
            </w:pPr>
          </w:p>
        </w:tc>
      </w:tr>
      <w:tr w:rsidR="0075666E" w:rsidRPr="00C84A0F" w:rsidTr="001811A5">
        <w:tc>
          <w:tcPr>
            <w:tcW w:w="1342" w:type="dxa"/>
          </w:tcPr>
          <w:p w:rsidR="0075666E" w:rsidRPr="00C84A0F" w:rsidRDefault="0075666E" w:rsidP="001811A5">
            <w:pPr>
              <w:jc w:val="center"/>
              <w:rPr>
                <w:rFonts w:cs="David"/>
                <w:b/>
                <w:bCs/>
              </w:rPr>
            </w:pPr>
            <w:r w:rsidRPr="00C84A0F">
              <w:rPr>
                <w:rFonts w:cs="David" w:hint="cs"/>
                <w:b/>
                <w:bCs/>
                <w:rtl/>
              </w:rPr>
              <w:t>2-3</w:t>
            </w:r>
          </w:p>
        </w:tc>
        <w:tc>
          <w:tcPr>
            <w:tcW w:w="5092" w:type="dxa"/>
          </w:tcPr>
          <w:p w:rsidR="0075666E" w:rsidRPr="00C84A0F" w:rsidRDefault="0075666E" w:rsidP="001811A5">
            <w:pPr>
              <w:spacing w:line="360" w:lineRule="auto"/>
              <w:ind w:right="72"/>
              <w:rPr>
                <w:rFonts w:cs="David"/>
              </w:rPr>
            </w:pPr>
            <w:r w:rsidRPr="00C84A0F">
              <w:rPr>
                <w:rFonts w:cs="David" w:hint="cs"/>
                <w:rtl/>
              </w:rPr>
              <w:t>היבטים היסטוריים והתפתחותיים של מושג ההערכה לסוגיה: הערכת הקשר, הערכת תשומות, הערכת תהליך, הערכת תפוקות, הערכת ביצוע.</w:t>
            </w:r>
          </w:p>
        </w:tc>
        <w:tc>
          <w:tcPr>
            <w:tcW w:w="2088" w:type="dxa"/>
          </w:tcPr>
          <w:p w:rsidR="0075666E" w:rsidRPr="00C84A0F" w:rsidRDefault="0075666E" w:rsidP="001811A5">
            <w:pPr>
              <w:spacing w:line="276" w:lineRule="auto"/>
              <w:rPr>
                <w:rFonts w:cs="David"/>
                <w:b/>
                <w:bCs/>
                <w:rtl/>
              </w:rPr>
            </w:pPr>
            <w:r w:rsidRPr="00C84A0F">
              <w:rPr>
                <w:rFonts w:cs="David" w:hint="cs"/>
                <w:b/>
                <w:bCs/>
                <w:rtl/>
              </w:rPr>
              <w:t xml:space="preserve">מקור מס' </w:t>
            </w:r>
            <w:r>
              <w:rPr>
                <w:rFonts w:cs="David" w:hint="cs"/>
                <w:b/>
                <w:bCs/>
                <w:rtl/>
              </w:rPr>
              <w:t>11</w:t>
            </w:r>
          </w:p>
          <w:p w:rsidR="0075666E" w:rsidRPr="00C84A0F" w:rsidRDefault="0075666E" w:rsidP="001811A5">
            <w:pPr>
              <w:spacing w:line="276" w:lineRule="auto"/>
              <w:rPr>
                <w:rFonts w:cs="David"/>
                <w:rtl/>
              </w:rPr>
            </w:pPr>
            <w:r w:rsidRPr="00C84A0F">
              <w:rPr>
                <w:rFonts w:cs="David" w:hint="cs"/>
                <w:rtl/>
              </w:rPr>
              <w:t>פרק הגישה הרביעית מתורגם לעברית, 12 עמודים.</w:t>
            </w:r>
          </w:p>
          <w:p w:rsidR="0075666E" w:rsidRPr="00C84A0F" w:rsidRDefault="0075666E" w:rsidP="001811A5">
            <w:pPr>
              <w:spacing w:line="276" w:lineRule="auto"/>
              <w:rPr>
                <w:rFonts w:cs="David"/>
                <w:rtl/>
              </w:rPr>
            </w:pPr>
            <w:r w:rsidRPr="00C84A0F">
              <w:rPr>
                <w:rFonts w:cs="David" w:hint="cs"/>
                <w:b/>
                <w:bCs/>
                <w:rtl/>
              </w:rPr>
              <w:t xml:space="preserve">מקור מס' </w:t>
            </w:r>
            <w:r>
              <w:rPr>
                <w:rFonts w:cs="David" w:hint="cs"/>
                <w:b/>
                <w:bCs/>
                <w:rtl/>
              </w:rPr>
              <w:t>12</w:t>
            </w:r>
          </w:p>
          <w:p w:rsidR="0075666E" w:rsidRPr="00C84A0F" w:rsidRDefault="0075666E" w:rsidP="001811A5">
            <w:pPr>
              <w:spacing w:line="276" w:lineRule="auto"/>
              <w:rPr>
                <w:rFonts w:cs="David"/>
                <w:rtl/>
              </w:rPr>
            </w:pPr>
            <w:r w:rsidRPr="00C84A0F">
              <w:rPr>
                <w:rFonts w:cs="David" w:hint="cs"/>
                <w:rtl/>
              </w:rPr>
              <w:t>עמ' 1-38</w:t>
            </w:r>
          </w:p>
          <w:p w:rsidR="0075666E" w:rsidRPr="00C84A0F" w:rsidRDefault="0075666E" w:rsidP="001811A5">
            <w:pPr>
              <w:spacing w:line="276" w:lineRule="auto"/>
              <w:rPr>
                <w:rFonts w:cs="David"/>
                <w:rtl/>
              </w:rPr>
            </w:pPr>
            <w:r w:rsidRPr="00C84A0F">
              <w:rPr>
                <w:rFonts w:cs="David" w:hint="cs"/>
                <w:b/>
                <w:bCs/>
                <w:rtl/>
              </w:rPr>
              <w:t xml:space="preserve">מקור מס' </w:t>
            </w:r>
            <w:r>
              <w:rPr>
                <w:rFonts w:cs="David" w:hint="cs"/>
                <w:b/>
                <w:bCs/>
                <w:rtl/>
              </w:rPr>
              <w:t>13</w:t>
            </w:r>
          </w:p>
        </w:tc>
      </w:tr>
      <w:tr w:rsidR="0075666E" w:rsidRPr="00C84A0F" w:rsidTr="001811A5">
        <w:tc>
          <w:tcPr>
            <w:tcW w:w="1342" w:type="dxa"/>
          </w:tcPr>
          <w:p w:rsidR="0075666E" w:rsidRPr="00C84A0F" w:rsidRDefault="0075666E" w:rsidP="001811A5">
            <w:pPr>
              <w:jc w:val="center"/>
              <w:rPr>
                <w:rFonts w:cs="David"/>
                <w:b/>
                <w:bCs/>
              </w:rPr>
            </w:pPr>
            <w:r w:rsidRPr="00C84A0F">
              <w:rPr>
                <w:rFonts w:cs="David" w:hint="cs"/>
                <w:b/>
                <w:bCs/>
                <w:rtl/>
              </w:rPr>
              <w:t>4</w:t>
            </w:r>
          </w:p>
        </w:tc>
        <w:tc>
          <w:tcPr>
            <w:tcW w:w="5092" w:type="dxa"/>
          </w:tcPr>
          <w:p w:rsidR="0075666E" w:rsidRPr="00C84A0F" w:rsidRDefault="0075666E" w:rsidP="001811A5">
            <w:pPr>
              <w:rPr>
                <w:rFonts w:cs="David"/>
                <w:rtl/>
              </w:rPr>
            </w:pPr>
            <w:r w:rsidRPr="00C84A0F">
              <w:rPr>
                <w:rFonts w:cs="David" w:hint="cs"/>
                <w:rtl/>
              </w:rPr>
              <w:t>קריטריונים להערכת מבחנים.</w:t>
            </w:r>
          </w:p>
          <w:p w:rsidR="0075666E" w:rsidRPr="00C84A0F" w:rsidRDefault="0075666E" w:rsidP="001811A5">
            <w:pPr>
              <w:rPr>
                <w:rFonts w:cs="David"/>
              </w:rPr>
            </w:pPr>
          </w:p>
        </w:tc>
        <w:tc>
          <w:tcPr>
            <w:tcW w:w="2088" w:type="dxa"/>
          </w:tcPr>
          <w:p w:rsidR="0075666E" w:rsidRPr="00C84A0F" w:rsidRDefault="0075666E" w:rsidP="001811A5">
            <w:pPr>
              <w:spacing w:line="276" w:lineRule="auto"/>
              <w:rPr>
                <w:rFonts w:cs="David"/>
                <w:b/>
                <w:bCs/>
                <w:rtl/>
              </w:rPr>
            </w:pPr>
            <w:r w:rsidRPr="00C84A0F">
              <w:rPr>
                <w:rFonts w:cs="David" w:hint="cs"/>
                <w:b/>
                <w:bCs/>
                <w:rtl/>
              </w:rPr>
              <w:t xml:space="preserve">מקור מס' </w:t>
            </w:r>
            <w:r>
              <w:rPr>
                <w:rFonts w:cs="David" w:hint="cs"/>
                <w:b/>
                <w:bCs/>
                <w:rtl/>
              </w:rPr>
              <w:t>8</w:t>
            </w:r>
          </w:p>
          <w:p w:rsidR="0075666E" w:rsidRPr="00C84A0F" w:rsidRDefault="0075666E" w:rsidP="001811A5">
            <w:pPr>
              <w:spacing w:line="276" w:lineRule="auto"/>
              <w:rPr>
                <w:rFonts w:cs="David"/>
                <w:rtl/>
              </w:rPr>
            </w:pPr>
            <w:r w:rsidRPr="00C84A0F">
              <w:rPr>
                <w:rFonts w:ascii="Bookman Old Style" w:hAnsi="Bookman Old Style" w:cs="David" w:hint="cs"/>
                <w:rtl/>
              </w:rPr>
              <w:t>עמ' 21-42</w:t>
            </w:r>
          </w:p>
        </w:tc>
      </w:tr>
      <w:tr w:rsidR="0075666E" w:rsidRPr="00C84A0F" w:rsidTr="001811A5">
        <w:tc>
          <w:tcPr>
            <w:tcW w:w="1342" w:type="dxa"/>
          </w:tcPr>
          <w:p w:rsidR="0075666E" w:rsidRPr="00C84A0F" w:rsidRDefault="0075666E" w:rsidP="001811A5">
            <w:pPr>
              <w:jc w:val="center"/>
              <w:rPr>
                <w:rFonts w:cs="David"/>
                <w:b/>
                <w:bCs/>
              </w:rPr>
            </w:pPr>
            <w:r w:rsidRPr="00C84A0F">
              <w:rPr>
                <w:rFonts w:cs="David" w:hint="cs"/>
                <w:b/>
                <w:bCs/>
                <w:rtl/>
              </w:rPr>
              <w:t>5</w:t>
            </w:r>
          </w:p>
        </w:tc>
        <w:tc>
          <w:tcPr>
            <w:tcW w:w="5092" w:type="dxa"/>
          </w:tcPr>
          <w:p w:rsidR="0075666E" w:rsidRPr="00C84A0F" w:rsidRDefault="0075666E" w:rsidP="001811A5">
            <w:pPr>
              <w:spacing w:line="360" w:lineRule="auto"/>
              <w:rPr>
                <w:rFonts w:cs="David"/>
                <w:rtl/>
              </w:rPr>
            </w:pPr>
            <w:r w:rsidRPr="00C84A0F">
              <w:rPr>
                <w:rFonts w:cs="David"/>
                <w:rtl/>
              </w:rPr>
              <w:t>התאמת צורכי ההערכה לתחומי הדעת השונים</w:t>
            </w:r>
            <w:r w:rsidRPr="00C84A0F">
              <w:rPr>
                <w:rFonts w:cs="David" w:hint="cs"/>
                <w:rtl/>
              </w:rPr>
              <w:t>.</w:t>
            </w:r>
          </w:p>
          <w:p w:rsidR="0075666E" w:rsidRPr="00C84A0F" w:rsidRDefault="0075666E" w:rsidP="001811A5">
            <w:pPr>
              <w:spacing w:line="360" w:lineRule="auto"/>
              <w:rPr>
                <w:rFonts w:cs="David"/>
                <w:rtl/>
              </w:rPr>
            </w:pPr>
            <w:r w:rsidRPr="00C84A0F">
              <w:rPr>
                <w:rFonts w:cs="David" w:hint="cs"/>
                <w:rtl/>
              </w:rPr>
              <w:t>סיווג מבחנים על פי מבנה, רמה, תכנים וזמן.</w:t>
            </w:r>
          </w:p>
          <w:p w:rsidR="0075666E" w:rsidRPr="00C84A0F" w:rsidRDefault="0075666E" w:rsidP="001811A5">
            <w:pPr>
              <w:rPr>
                <w:rFonts w:cs="David"/>
              </w:rPr>
            </w:pPr>
          </w:p>
        </w:tc>
        <w:tc>
          <w:tcPr>
            <w:tcW w:w="2088" w:type="dxa"/>
          </w:tcPr>
          <w:p w:rsidR="0075666E" w:rsidRPr="00C84A0F" w:rsidRDefault="0075666E" w:rsidP="001811A5">
            <w:pPr>
              <w:spacing w:line="276" w:lineRule="auto"/>
              <w:rPr>
                <w:rFonts w:cs="David"/>
                <w:b/>
                <w:bCs/>
                <w:rtl/>
              </w:rPr>
            </w:pPr>
            <w:r w:rsidRPr="00C84A0F">
              <w:rPr>
                <w:rFonts w:cs="David" w:hint="cs"/>
                <w:b/>
                <w:bCs/>
                <w:rtl/>
              </w:rPr>
              <w:t xml:space="preserve">מקור מס' </w:t>
            </w:r>
            <w:r>
              <w:rPr>
                <w:rFonts w:cs="David" w:hint="cs"/>
                <w:b/>
                <w:bCs/>
                <w:rtl/>
              </w:rPr>
              <w:t>6</w:t>
            </w:r>
          </w:p>
          <w:p w:rsidR="0075666E" w:rsidRPr="00C84A0F" w:rsidRDefault="0075666E" w:rsidP="001811A5">
            <w:pPr>
              <w:spacing w:line="276" w:lineRule="auto"/>
              <w:rPr>
                <w:rFonts w:cs="David"/>
                <w:rtl/>
              </w:rPr>
            </w:pPr>
            <w:r w:rsidRPr="00C84A0F">
              <w:rPr>
                <w:rFonts w:cs="David" w:hint="cs"/>
                <w:rtl/>
              </w:rPr>
              <w:t>כרך ב'</w:t>
            </w:r>
          </w:p>
        </w:tc>
      </w:tr>
      <w:tr w:rsidR="0075666E" w:rsidRPr="00C84A0F" w:rsidTr="001811A5">
        <w:tc>
          <w:tcPr>
            <w:tcW w:w="1342" w:type="dxa"/>
          </w:tcPr>
          <w:p w:rsidR="0075666E" w:rsidRPr="00C84A0F" w:rsidRDefault="0075666E" w:rsidP="001811A5">
            <w:pPr>
              <w:jc w:val="center"/>
              <w:rPr>
                <w:rFonts w:cs="David"/>
                <w:b/>
                <w:bCs/>
              </w:rPr>
            </w:pPr>
            <w:r w:rsidRPr="00C84A0F">
              <w:rPr>
                <w:rFonts w:cs="David" w:hint="cs"/>
                <w:b/>
                <w:bCs/>
                <w:rtl/>
              </w:rPr>
              <w:t>6-7</w:t>
            </w:r>
          </w:p>
        </w:tc>
        <w:tc>
          <w:tcPr>
            <w:tcW w:w="5092" w:type="dxa"/>
          </w:tcPr>
          <w:p w:rsidR="0075666E" w:rsidRPr="00C84A0F" w:rsidRDefault="0075666E" w:rsidP="001811A5">
            <w:pPr>
              <w:spacing w:line="360" w:lineRule="auto"/>
              <w:rPr>
                <w:rFonts w:cs="David"/>
                <w:rtl/>
              </w:rPr>
            </w:pPr>
            <w:r w:rsidRPr="00C84A0F">
              <w:rPr>
                <w:rFonts w:cs="David" w:hint="cs"/>
                <w:rtl/>
              </w:rPr>
              <w:t>תכנון מבחנים על יסוד תכנון ההוראה.</w:t>
            </w:r>
          </w:p>
          <w:p w:rsidR="0075666E" w:rsidRPr="00C84A0F" w:rsidRDefault="0075666E" w:rsidP="001811A5">
            <w:pPr>
              <w:spacing w:line="360" w:lineRule="auto"/>
              <w:rPr>
                <w:rFonts w:cs="David"/>
                <w:rtl/>
              </w:rPr>
            </w:pPr>
            <w:r w:rsidRPr="00C84A0F">
              <w:rPr>
                <w:rFonts w:cs="David" w:hint="cs"/>
                <w:rtl/>
              </w:rPr>
              <w:t>מבחני מיצ"ב ומבחנים בין לאומיים (מבחנים הבודקים סטנדרטים של תוכן ואסטרטגיות חשיבה מסדר גבוה) תרגילים ושאלות.</w:t>
            </w:r>
          </w:p>
          <w:p w:rsidR="0075666E" w:rsidRPr="00C84A0F" w:rsidRDefault="0075666E" w:rsidP="001811A5">
            <w:pPr>
              <w:rPr>
                <w:rFonts w:cs="David"/>
              </w:rPr>
            </w:pPr>
          </w:p>
        </w:tc>
        <w:tc>
          <w:tcPr>
            <w:tcW w:w="2088" w:type="dxa"/>
          </w:tcPr>
          <w:p w:rsidR="0075666E" w:rsidRPr="00C84A0F" w:rsidRDefault="0075666E" w:rsidP="001811A5">
            <w:pPr>
              <w:spacing w:line="276" w:lineRule="auto"/>
              <w:rPr>
                <w:rFonts w:cs="David"/>
                <w:rtl/>
              </w:rPr>
            </w:pPr>
            <w:r w:rsidRPr="00C84A0F">
              <w:rPr>
                <w:rFonts w:cs="David" w:hint="cs"/>
                <w:rtl/>
              </w:rPr>
              <w:t>אתר ראמ"ה</w:t>
            </w:r>
          </w:p>
          <w:p w:rsidR="0075666E" w:rsidRPr="00C84A0F" w:rsidRDefault="0075666E" w:rsidP="001811A5">
            <w:pPr>
              <w:spacing w:line="276" w:lineRule="auto"/>
              <w:rPr>
                <w:rFonts w:cs="David"/>
                <w:rtl/>
              </w:rPr>
            </w:pPr>
            <w:r w:rsidRPr="00C84A0F">
              <w:rPr>
                <w:rFonts w:cs="David" w:hint="cs"/>
                <w:b/>
                <w:bCs/>
                <w:rtl/>
              </w:rPr>
              <w:t xml:space="preserve">מקור </w:t>
            </w:r>
            <w:r>
              <w:rPr>
                <w:rFonts w:cs="David" w:hint="cs"/>
                <w:b/>
                <w:bCs/>
                <w:rtl/>
              </w:rPr>
              <w:t>9</w:t>
            </w:r>
            <w:r w:rsidRPr="00C84A0F">
              <w:rPr>
                <w:rFonts w:cs="David" w:hint="cs"/>
                <w:rtl/>
              </w:rPr>
              <w:t>, עמ' 17-39</w:t>
            </w:r>
          </w:p>
        </w:tc>
      </w:tr>
      <w:tr w:rsidR="0075666E" w:rsidRPr="00C84A0F" w:rsidTr="001811A5">
        <w:tc>
          <w:tcPr>
            <w:tcW w:w="1342" w:type="dxa"/>
          </w:tcPr>
          <w:p w:rsidR="0075666E" w:rsidRPr="00C84A0F" w:rsidRDefault="0075666E" w:rsidP="001811A5">
            <w:pPr>
              <w:tabs>
                <w:tab w:val="left" w:pos="406"/>
                <w:tab w:val="center" w:pos="563"/>
              </w:tabs>
              <w:rPr>
                <w:rFonts w:cs="David"/>
                <w:b/>
                <w:bCs/>
              </w:rPr>
            </w:pPr>
            <w:r w:rsidRPr="00C84A0F">
              <w:rPr>
                <w:rFonts w:cs="David"/>
                <w:b/>
                <w:bCs/>
                <w:rtl/>
              </w:rPr>
              <w:tab/>
            </w:r>
            <w:r w:rsidRPr="00C84A0F">
              <w:rPr>
                <w:rFonts w:cs="David"/>
                <w:b/>
                <w:bCs/>
                <w:rtl/>
              </w:rPr>
              <w:tab/>
            </w:r>
            <w:r w:rsidRPr="00C84A0F">
              <w:rPr>
                <w:rFonts w:cs="David" w:hint="cs"/>
                <w:b/>
                <w:bCs/>
                <w:rtl/>
              </w:rPr>
              <w:t>8</w:t>
            </w:r>
          </w:p>
        </w:tc>
        <w:tc>
          <w:tcPr>
            <w:tcW w:w="5092" w:type="dxa"/>
          </w:tcPr>
          <w:p w:rsidR="0075666E" w:rsidRPr="00C84A0F" w:rsidRDefault="0075666E" w:rsidP="001811A5">
            <w:pPr>
              <w:spacing w:line="360" w:lineRule="auto"/>
              <w:ind w:right="72"/>
              <w:rPr>
                <w:rFonts w:cs="David"/>
              </w:rPr>
            </w:pPr>
            <w:r w:rsidRPr="00C84A0F">
              <w:rPr>
                <w:rFonts w:cs="David" w:hint="cs"/>
                <w:rtl/>
              </w:rPr>
              <w:t>כלים ומשימות להערכת הלומדים, ניסוח מבחנים על פי נורמות וקריטריוני</w:t>
            </w:r>
            <w:r w:rsidRPr="00C84A0F">
              <w:rPr>
                <w:rFonts w:cs="David" w:hint="eastAsia"/>
                <w:rtl/>
              </w:rPr>
              <w:t>ם</w:t>
            </w:r>
            <w:r w:rsidRPr="00C84A0F">
              <w:rPr>
                <w:rFonts w:cs="David" w:hint="cs"/>
                <w:rtl/>
              </w:rPr>
              <w:t xml:space="preserve"> (סטנדרטים) של תוכן. תרגילים ושאלות.</w:t>
            </w:r>
          </w:p>
        </w:tc>
        <w:tc>
          <w:tcPr>
            <w:tcW w:w="2088" w:type="dxa"/>
          </w:tcPr>
          <w:p w:rsidR="0075666E" w:rsidRPr="00C84A0F" w:rsidRDefault="0075666E" w:rsidP="001811A5">
            <w:pPr>
              <w:spacing w:line="276" w:lineRule="auto"/>
              <w:rPr>
                <w:rFonts w:cs="David"/>
                <w:b/>
                <w:bCs/>
                <w:rtl/>
              </w:rPr>
            </w:pPr>
            <w:r w:rsidRPr="00C84A0F">
              <w:rPr>
                <w:rFonts w:cs="David" w:hint="cs"/>
                <w:b/>
                <w:bCs/>
                <w:rtl/>
              </w:rPr>
              <w:t>מקור מס' 1</w:t>
            </w:r>
          </w:p>
          <w:p w:rsidR="0075666E" w:rsidRPr="00C84A0F" w:rsidRDefault="0075666E" w:rsidP="001811A5">
            <w:pPr>
              <w:spacing w:line="276" w:lineRule="auto"/>
              <w:rPr>
                <w:rFonts w:cs="David"/>
                <w:rtl/>
              </w:rPr>
            </w:pPr>
            <w:r w:rsidRPr="00C84A0F">
              <w:rPr>
                <w:rFonts w:cs="David" w:hint="cs"/>
                <w:rtl/>
              </w:rPr>
              <w:t>עמ' 117-190</w:t>
            </w:r>
          </w:p>
          <w:p w:rsidR="0075666E" w:rsidRPr="00C84A0F" w:rsidRDefault="0075666E" w:rsidP="001811A5">
            <w:pPr>
              <w:spacing w:line="276" w:lineRule="auto"/>
              <w:rPr>
                <w:rFonts w:cs="David"/>
                <w:rtl/>
              </w:rPr>
            </w:pPr>
          </w:p>
        </w:tc>
      </w:tr>
      <w:tr w:rsidR="0075666E" w:rsidRPr="00C84A0F" w:rsidTr="001811A5">
        <w:tc>
          <w:tcPr>
            <w:tcW w:w="1342" w:type="dxa"/>
          </w:tcPr>
          <w:p w:rsidR="0075666E" w:rsidRPr="00C84A0F" w:rsidRDefault="0075666E" w:rsidP="001811A5">
            <w:pPr>
              <w:jc w:val="center"/>
              <w:rPr>
                <w:rFonts w:cs="David"/>
                <w:b/>
                <w:bCs/>
                <w:rtl/>
              </w:rPr>
            </w:pPr>
            <w:r>
              <w:rPr>
                <w:rFonts w:cs="David" w:hint="cs"/>
                <w:b/>
                <w:bCs/>
                <w:rtl/>
              </w:rPr>
              <w:t>9</w:t>
            </w:r>
          </w:p>
        </w:tc>
        <w:tc>
          <w:tcPr>
            <w:tcW w:w="5092" w:type="dxa"/>
          </w:tcPr>
          <w:p w:rsidR="0075666E" w:rsidRPr="00C84A0F" w:rsidRDefault="0075666E" w:rsidP="001811A5">
            <w:pPr>
              <w:spacing w:line="360" w:lineRule="auto"/>
              <w:ind w:right="72"/>
              <w:rPr>
                <w:rFonts w:cs="David"/>
                <w:rtl/>
              </w:rPr>
            </w:pPr>
            <w:r w:rsidRPr="00C84A0F">
              <w:rPr>
                <w:rFonts w:ascii="Arial" w:hAnsi="Arial" w:cs="David" w:hint="cs"/>
                <w:rtl/>
              </w:rPr>
              <w:t>הערכה לשם למידה ולשיפור ההוראה. תרבות ה- הל"ה (הוראה-למידה-הערכה)</w:t>
            </w:r>
            <w:r w:rsidRPr="00C84A0F">
              <w:rPr>
                <w:rFonts w:cs="David" w:hint="cs"/>
                <w:rtl/>
              </w:rPr>
              <w:t>.</w:t>
            </w:r>
          </w:p>
          <w:p w:rsidR="0075666E" w:rsidRPr="00C84A0F" w:rsidRDefault="0075666E" w:rsidP="001811A5">
            <w:pPr>
              <w:spacing w:line="360" w:lineRule="auto"/>
              <w:ind w:right="72"/>
              <w:rPr>
                <w:rFonts w:cs="David"/>
                <w:rtl/>
              </w:rPr>
            </w:pPr>
          </w:p>
        </w:tc>
        <w:tc>
          <w:tcPr>
            <w:tcW w:w="2088" w:type="dxa"/>
          </w:tcPr>
          <w:p w:rsidR="0075666E" w:rsidRPr="00C84A0F" w:rsidRDefault="0075666E" w:rsidP="001811A5">
            <w:pPr>
              <w:spacing w:line="276" w:lineRule="auto"/>
              <w:rPr>
                <w:rFonts w:cs="David"/>
                <w:b/>
                <w:bCs/>
                <w:rtl/>
              </w:rPr>
            </w:pPr>
            <w:r w:rsidRPr="00C84A0F">
              <w:rPr>
                <w:rFonts w:cs="David" w:hint="cs"/>
                <w:b/>
                <w:bCs/>
                <w:rtl/>
              </w:rPr>
              <w:t>מקור מס' 2</w:t>
            </w:r>
          </w:p>
          <w:p w:rsidR="0075666E" w:rsidRPr="00C84A0F" w:rsidRDefault="0075666E" w:rsidP="001811A5">
            <w:pPr>
              <w:spacing w:line="276" w:lineRule="auto"/>
              <w:rPr>
                <w:rFonts w:cs="David"/>
                <w:rtl/>
              </w:rPr>
            </w:pPr>
            <w:r w:rsidRPr="00C84A0F">
              <w:rPr>
                <w:rFonts w:cs="David" w:hint="cs"/>
                <w:rtl/>
              </w:rPr>
              <w:t>עמ' 55-77</w:t>
            </w:r>
          </w:p>
          <w:p w:rsidR="0075666E" w:rsidRPr="00C84A0F" w:rsidRDefault="0075666E" w:rsidP="001811A5">
            <w:pPr>
              <w:spacing w:line="276" w:lineRule="auto"/>
              <w:rPr>
                <w:rFonts w:cs="David"/>
                <w:rtl/>
              </w:rPr>
            </w:pPr>
            <w:r w:rsidRPr="00C84A0F">
              <w:rPr>
                <w:rFonts w:cs="David" w:hint="cs"/>
                <w:rtl/>
              </w:rPr>
              <w:t>אתר ראמ"ה</w:t>
            </w:r>
          </w:p>
        </w:tc>
      </w:tr>
      <w:tr w:rsidR="0075666E" w:rsidRPr="00C84A0F" w:rsidTr="001811A5">
        <w:tc>
          <w:tcPr>
            <w:tcW w:w="1342" w:type="dxa"/>
          </w:tcPr>
          <w:p w:rsidR="0075666E" w:rsidRPr="00C84A0F" w:rsidRDefault="0075666E" w:rsidP="001811A5">
            <w:pPr>
              <w:jc w:val="center"/>
              <w:rPr>
                <w:rFonts w:cs="David"/>
                <w:b/>
                <w:bCs/>
              </w:rPr>
            </w:pPr>
            <w:r>
              <w:rPr>
                <w:rFonts w:cs="David" w:hint="cs"/>
                <w:b/>
                <w:bCs/>
                <w:rtl/>
              </w:rPr>
              <w:t>10</w:t>
            </w:r>
          </w:p>
        </w:tc>
        <w:tc>
          <w:tcPr>
            <w:tcW w:w="5092" w:type="dxa"/>
          </w:tcPr>
          <w:p w:rsidR="0075666E" w:rsidRPr="00C84A0F" w:rsidRDefault="0075666E" w:rsidP="001811A5">
            <w:pPr>
              <w:spacing w:line="360" w:lineRule="auto"/>
              <w:ind w:right="72"/>
              <w:rPr>
                <w:rFonts w:cs="David"/>
                <w:rtl/>
              </w:rPr>
            </w:pPr>
            <w:r w:rsidRPr="00C84A0F">
              <w:rPr>
                <w:rFonts w:cs="David" w:hint="cs"/>
                <w:rtl/>
              </w:rPr>
              <w:t>דרכי הערכת מבחנים והפחתת מתח וחרדת בחינות בקרב התלמידים באמצעות הערכה חלופית.</w:t>
            </w:r>
          </w:p>
          <w:p w:rsidR="0075666E" w:rsidRPr="00C84A0F" w:rsidRDefault="0075666E" w:rsidP="001811A5">
            <w:pPr>
              <w:spacing w:line="360" w:lineRule="auto"/>
              <w:ind w:right="72"/>
              <w:rPr>
                <w:rFonts w:cs="David"/>
              </w:rPr>
            </w:pPr>
          </w:p>
        </w:tc>
        <w:tc>
          <w:tcPr>
            <w:tcW w:w="2088" w:type="dxa"/>
          </w:tcPr>
          <w:p w:rsidR="0075666E" w:rsidRPr="00C84A0F" w:rsidRDefault="0075666E" w:rsidP="001811A5">
            <w:pPr>
              <w:spacing w:line="276" w:lineRule="auto"/>
              <w:rPr>
                <w:rFonts w:cs="David"/>
                <w:b/>
                <w:bCs/>
                <w:rtl/>
              </w:rPr>
            </w:pPr>
            <w:r w:rsidRPr="00C84A0F">
              <w:rPr>
                <w:rFonts w:cs="David" w:hint="cs"/>
                <w:b/>
                <w:bCs/>
                <w:rtl/>
              </w:rPr>
              <w:t xml:space="preserve">מקור מס' </w:t>
            </w:r>
            <w:r>
              <w:rPr>
                <w:rFonts w:cs="David" w:hint="cs"/>
                <w:b/>
                <w:bCs/>
                <w:rtl/>
              </w:rPr>
              <w:t>6</w:t>
            </w:r>
          </w:p>
          <w:p w:rsidR="0075666E" w:rsidRPr="00C84A0F" w:rsidRDefault="0075666E" w:rsidP="001811A5">
            <w:pPr>
              <w:spacing w:line="276" w:lineRule="auto"/>
              <w:rPr>
                <w:rFonts w:cs="David"/>
                <w:rtl/>
              </w:rPr>
            </w:pPr>
            <w:r w:rsidRPr="00C84A0F">
              <w:rPr>
                <w:rFonts w:cs="David" w:hint="cs"/>
                <w:rtl/>
              </w:rPr>
              <w:t>עמ' 105-150</w:t>
            </w:r>
          </w:p>
        </w:tc>
      </w:tr>
    </w:tbl>
    <w:p w:rsidR="0075666E" w:rsidRPr="00C84A0F" w:rsidRDefault="0075666E" w:rsidP="0075666E">
      <w:r w:rsidRPr="00C84A0F">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5092"/>
        <w:gridCol w:w="2088"/>
      </w:tblGrid>
      <w:tr w:rsidR="0075666E" w:rsidRPr="00C84A0F" w:rsidTr="001811A5">
        <w:tc>
          <w:tcPr>
            <w:tcW w:w="1342" w:type="dxa"/>
            <w:shd w:val="clear" w:color="auto" w:fill="BFBFBF"/>
          </w:tcPr>
          <w:p w:rsidR="0075666E" w:rsidRPr="00C84A0F" w:rsidRDefault="0075666E" w:rsidP="001811A5">
            <w:pPr>
              <w:keepNext/>
              <w:jc w:val="center"/>
              <w:outlineLvl w:val="2"/>
              <w:rPr>
                <w:rFonts w:cs="David"/>
                <w:b/>
                <w:bCs/>
              </w:rPr>
            </w:pPr>
            <w:r w:rsidRPr="00C84A0F">
              <w:rPr>
                <w:rFonts w:cs="David" w:hint="cs"/>
                <w:b/>
                <w:bCs/>
                <w:rtl/>
              </w:rPr>
              <w:lastRenderedPageBreak/>
              <w:t>מס' מפגש</w:t>
            </w:r>
          </w:p>
        </w:tc>
        <w:tc>
          <w:tcPr>
            <w:tcW w:w="5092" w:type="dxa"/>
            <w:shd w:val="clear" w:color="auto" w:fill="BFBFBF"/>
          </w:tcPr>
          <w:p w:rsidR="0075666E" w:rsidRPr="00C84A0F" w:rsidRDefault="0075666E" w:rsidP="001811A5">
            <w:pPr>
              <w:jc w:val="center"/>
              <w:rPr>
                <w:b/>
                <w:bCs/>
                <w:rtl/>
                <w:lang w:bidi="ar-SA"/>
              </w:rPr>
            </w:pPr>
            <w:r w:rsidRPr="00C84A0F">
              <w:rPr>
                <w:rFonts w:cs="David" w:hint="cs"/>
                <w:b/>
                <w:bCs/>
                <w:rtl/>
                <w:lang w:bidi="ar-SA"/>
              </w:rPr>
              <w:t xml:space="preserve"> </w:t>
            </w:r>
            <w:r w:rsidRPr="00C84A0F">
              <w:rPr>
                <w:rFonts w:cs="David" w:hint="cs"/>
                <w:b/>
                <w:bCs/>
                <w:rtl/>
              </w:rPr>
              <w:t>נושא</w:t>
            </w:r>
            <w:r w:rsidRPr="00C84A0F">
              <w:rPr>
                <w:rFonts w:cs="David" w:hint="cs"/>
                <w:b/>
                <w:bCs/>
                <w:rtl/>
                <w:lang w:bidi="ar-SA"/>
              </w:rPr>
              <w:t xml:space="preserve"> </w:t>
            </w:r>
            <w:r w:rsidRPr="00C84A0F">
              <w:rPr>
                <w:rFonts w:cs="David" w:hint="cs"/>
                <w:b/>
                <w:bCs/>
                <w:rtl/>
              </w:rPr>
              <w:t>המפגש</w:t>
            </w:r>
          </w:p>
        </w:tc>
        <w:tc>
          <w:tcPr>
            <w:tcW w:w="2088" w:type="dxa"/>
            <w:shd w:val="clear" w:color="auto" w:fill="BFBFBF"/>
          </w:tcPr>
          <w:p w:rsidR="0075666E" w:rsidRPr="00C84A0F" w:rsidRDefault="0075666E" w:rsidP="001811A5">
            <w:pPr>
              <w:jc w:val="center"/>
              <w:rPr>
                <w:rFonts w:cs="David"/>
                <w:b/>
                <w:bCs/>
                <w:rtl/>
              </w:rPr>
            </w:pPr>
            <w:r w:rsidRPr="00C84A0F">
              <w:rPr>
                <w:rFonts w:cs="David" w:hint="cs"/>
                <w:b/>
                <w:bCs/>
                <w:rtl/>
              </w:rPr>
              <w:t>קריאת חובה</w:t>
            </w:r>
          </w:p>
        </w:tc>
      </w:tr>
      <w:tr w:rsidR="0075666E" w:rsidRPr="00C84A0F" w:rsidTr="001811A5">
        <w:tc>
          <w:tcPr>
            <w:tcW w:w="1342" w:type="dxa"/>
          </w:tcPr>
          <w:p w:rsidR="0075666E" w:rsidRPr="00C84A0F" w:rsidRDefault="0075666E" w:rsidP="001811A5">
            <w:pPr>
              <w:jc w:val="center"/>
              <w:rPr>
                <w:rFonts w:cs="David"/>
                <w:b/>
                <w:bCs/>
              </w:rPr>
            </w:pPr>
            <w:r>
              <w:rPr>
                <w:rFonts w:cs="David" w:hint="cs"/>
                <w:b/>
                <w:bCs/>
                <w:rtl/>
              </w:rPr>
              <w:t>11-12</w:t>
            </w:r>
          </w:p>
        </w:tc>
        <w:tc>
          <w:tcPr>
            <w:tcW w:w="5092" w:type="dxa"/>
          </w:tcPr>
          <w:p w:rsidR="0075666E" w:rsidRPr="00C84A0F" w:rsidRDefault="0075666E" w:rsidP="001811A5">
            <w:pPr>
              <w:spacing w:line="360" w:lineRule="auto"/>
              <w:rPr>
                <w:rFonts w:cs="David"/>
                <w:rtl/>
              </w:rPr>
            </w:pPr>
            <w:r w:rsidRPr="00C84A0F">
              <w:rPr>
                <w:rFonts w:cs="David" w:hint="cs"/>
                <w:rtl/>
              </w:rPr>
              <w:t>תרבות ההערכה בלמידה משמעותית, מהות ההערכה החלופית, יסודותיה, טבעה והגיונה. כלים בהערכה חלופית והערכה חלופית מתוקשבת.</w:t>
            </w:r>
          </w:p>
          <w:p w:rsidR="0075666E" w:rsidRPr="00C84A0F" w:rsidRDefault="0075666E" w:rsidP="001811A5">
            <w:pPr>
              <w:spacing w:line="360" w:lineRule="auto"/>
              <w:rPr>
                <w:rFonts w:cs="David"/>
                <w:rtl/>
              </w:rPr>
            </w:pPr>
          </w:p>
        </w:tc>
        <w:tc>
          <w:tcPr>
            <w:tcW w:w="2088" w:type="dxa"/>
          </w:tcPr>
          <w:p w:rsidR="0075666E" w:rsidRPr="00C84A0F" w:rsidRDefault="0075666E" w:rsidP="001811A5">
            <w:pPr>
              <w:spacing w:line="276" w:lineRule="auto"/>
              <w:rPr>
                <w:rFonts w:cs="David"/>
                <w:rtl/>
              </w:rPr>
            </w:pPr>
            <w:r w:rsidRPr="00C84A0F">
              <w:rPr>
                <w:rFonts w:cs="David" w:hint="cs"/>
                <w:b/>
                <w:bCs/>
                <w:rtl/>
              </w:rPr>
              <w:t>מקור מס' 3</w:t>
            </w:r>
            <w:r w:rsidRPr="00C84A0F">
              <w:rPr>
                <w:rFonts w:cs="David" w:hint="cs"/>
                <w:rtl/>
              </w:rPr>
              <w:t>, עמ' 16-37  ו-  111-153.</w:t>
            </w:r>
          </w:p>
          <w:p w:rsidR="0075666E" w:rsidRPr="00C84A0F" w:rsidRDefault="0075666E" w:rsidP="001811A5">
            <w:pPr>
              <w:spacing w:line="276" w:lineRule="auto"/>
              <w:rPr>
                <w:rFonts w:cs="David"/>
                <w:b/>
                <w:bCs/>
                <w:rtl/>
              </w:rPr>
            </w:pPr>
            <w:r w:rsidRPr="00C84A0F">
              <w:rPr>
                <w:rFonts w:cs="David" w:hint="cs"/>
                <w:b/>
                <w:bCs/>
                <w:rtl/>
              </w:rPr>
              <w:t xml:space="preserve">מקור מס' </w:t>
            </w:r>
            <w:r>
              <w:rPr>
                <w:rFonts w:cs="David" w:hint="cs"/>
                <w:b/>
                <w:bCs/>
                <w:rtl/>
              </w:rPr>
              <w:t>7</w:t>
            </w:r>
            <w:r w:rsidRPr="00C84A0F">
              <w:rPr>
                <w:rFonts w:cs="David" w:hint="cs"/>
                <w:b/>
                <w:bCs/>
                <w:rtl/>
              </w:rPr>
              <w:t xml:space="preserve"> </w:t>
            </w:r>
          </w:p>
          <w:p w:rsidR="0075666E" w:rsidRPr="00C84A0F" w:rsidRDefault="0075666E" w:rsidP="001811A5">
            <w:pPr>
              <w:spacing w:line="276" w:lineRule="auto"/>
              <w:rPr>
                <w:rFonts w:cs="David"/>
                <w:rtl/>
              </w:rPr>
            </w:pPr>
            <w:r w:rsidRPr="00C84A0F">
              <w:rPr>
                <w:rFonts w:cs="David" w:hint="cs"/>
                <w:rtl/>
              </w:rPr>
              <w:t xml:space="preserve">עמ' פרק 4.ח בספר האלקטרוני </w:t>
            </w:r>
          </w:p>
          <w:p w:rsidR="0075666E" w:rsidRPr="00C84A0F" w:rsidRDefault="0075666E" w:rsidP="001811A5">
            <w:pPr>
              <w:spacing w:line="276" w:lineRule="auto"/>
              <w:rPr>
                <w:rFonts w:cs="David"/>
                <w:rtl/>
              </w:rPr>
            </w:pPr>
            <w:r w:rsidRPr="00C84A0F">
              <w:rPr>
                <w:rFonts w:cs="David" w:hint="cs"/>
                <w:b/>
                <w:bCs/>
                <w:rtl/>
              </w:rPr>
              <w:t xml:space="preserve">מקור מס' </w:t>
            </w:r>
            <w:r>
              <w:rPr>
                <w:rFonts w:cs="David" w:hint="cs"/>
                <w:b/>
                <w:bCs/>
                <w:rtl/>
              </w:rPr>
              <w:t>9</w:t>
            </w:r>
            <w:r w:rsidRPr="00C84A0F">
              <w:rPr>
                <w:rFonts w:cs="David" w:hint="cs"/>
                <w:b/>
                <w:bCs/>
                <w:rtl/>
              </w:rPr>
              <w:t>,</w:t>
            </w:r>
            <w:r w:rsidRPr="00C84A0F">
              <w:rPr>
                <w:rFonts w:cs="David" w:hint="cs"/>
                <w:rtl/>
              </w:rPr>
              <w:t xml:space="preserve"> עמ' 142-152</w:t>
            </w:r>
          </w:p>
        </w:tc>
      </w:tr>
      <w:tr w:rsidR="0075666E" w:rsidRPr="00C84A0F" w:rsidTr="001811A5">
        <w:tc>
          <w:tcPr>
            <w:tcW w:w="1342" w:type="dxa"/>
          </w:tcPr>
          <w:p w:rsidR="0075666E" w:rsidRPr="00C84A0F" w:rsidRDefault="0075666E" w:rsidP="001811A5">
            <w:pPr>
              <w:jc w:val="center"/>
              <w:rPr>
                <w:rFonts w:cs="David"/>
                <w:b/>
                <w:bCs/>
              </w:rPr>
            </w:pPr>
            <w:r>
              <w:rPr>
                <w:rFonts w:cs="David" w:hint="cs"/>
                <w:b/>
                <w:bCs/>
                <w:rtl/>
              </w:rPr>
              <w:t>13</w:t>
            </w:r>
          </w:p>
        </w:tc>
        <w:tc>
          <w:tcPr>
            <w:tcW w:w="5092" w:type="dxa"/>
          </w:tcPr>
          <w:p w:rsidR="0075666E" w:rsidRPr="00C84A0F" w:rsidRDefault="0075666E" w:rsidP="001811A5">
            <w:pPr>
              <w:spacing w:line="360" w:lineRule="auto"/>
              <w:rPr>
                <w:rFonts w:cs="David"/>
              </w:rPr>
            </w:pPr>
            <w:r w:rsidRPr="00C84A0F">
              <w:rPr>
                <w:rFonts w:cs="David" w:hint="cs"/>
                <w:rtl/>
              </w:rPr>
              <w:t>סוגיות בהערכה קובעת: מבחנים עתירי סיכון ואחריותיות.</w:t>
            </w:r>
          </w:p>
        </w:tc>
        <w:tc>
          <w:tcPr>
            <w:tcW w:w="2088" w:type="dxa"/>
          </w:tcPr>
          <w:p w:rsidR="0075666E" w:rsidRPr="00C84A0F" w:rsidRDefault="0075666E" w:rsidP="001811A5">
            <w:pPr>
              <w:spacing w:line="276" w:lineRule="auto"/>
              <w:rPr>
                <w:rFonts w:cs="David"/>
                <w:b/>
                <w:bCs/>
                <w:rtl/>
              </w:rPr>
            </w:pPr>
            <w:r w:rsidRPr="00C84A0F">
              <w:rPr>
                <w:rFonts w:cs="David" w:hint="cs"/>
                <w:b/>
                <w:bCs/>
                <w:rtl/>
              </w:rPr>
              <w:t>מקור מס' 4</w:t>
            </w:r>
          </w:p>
          <w:p w:rsidR="0075666E" w:rsidRPr="00C84A0F" w:rsidRDefault="0075666E" w:rsidP="001811A5">
            <w:pPr>
              <w:spacing w:line="276" w:lineRule="auto"/>
              <w:rPr>
                <w:rFonts w:cs="David"/>
                <w:rtl/>
              </w:rPr>
            </w:pPr>
            <w:r w:rsidRPr="00C84A0F">
              <w:rPr>
                <w:rFonts w:cs="David" w:hint="cs"/>
                <w:rtl/>
              </w:rPr>
              <w:t>עמ' 37- 68</w:t>
            </w:r>
          </w:p>
          <w:p w:rsidR="0075666E" w:rsidRPr="00C84A0F" w:rsidRDefault="0075666E" w:rsidP="001811A5">
            <w:pPr>
              <w:spacing w:line="276" w:lineRule="auto"/>
              <w:rPr>
                <w:rFonts w:cs="David"/>
                <w:b/>
                <w:bCs/>
                <w:rtl/>
              </w:rPr>
            </w:pPr>
            <w:r w:rsidRPr="00C84A0F">
              <w:rPr>
                <w:rFonts w:cs="David" w:hint="cs"/>
                <w:b/>
                <w:bCs/>
                <w:rtl/>
              </w:rPr>
              <w:t xml:space="preserve">מקור מס' </w:t>
            </w:r>
            <w:r>
              <w:rPr>
                <w:rFonts w:cs="David" w:hint="cs"/>
                <w:b/>
                <w:bCs/>
                <w:rtl/>
              </w:rPr>
              <w:t>8</w:t>
            </w:r>
          </w:p>
          <w:p w:rsidR="0075666E" w:rsidRPr="00C84A0F" w:rsidRDefault="0075666E" w:rsidP="001811A5">
            <w:pPr>
              <w:spacing w:line="276" w:lineRule="auto"/>
              <w:rPr>
                <w:rtl/>
              </w:rPr>
            </w:pPr>
            <w:r w:rsidRPr="00C84A0F">
              <w:t>pp. 293-304</w:t>
            </w:r>
          </w:p>
          <w:p w:rsidR="0075666E" w:rsidRPr="00C84A0F" w:rsidRDefault="0075666E" w:rsidP="001811A5">
            <w:pPr>
              <w:spacing w:line="276" w:lineRule="auto"/>
              <w:rPr>
                <w:rFonts w:cs="David"/>
                <w:rtl/>
              </w:rPr>
            </w:pPr>
            <w:r w:rsidRPr="00C84A0F">
              <w:rPr>
                <w:rFonts w:cs="David" w:hint="cs"/>
                <w:b/>
                <w:bCs/>
                <w:rtl/>
              </w:rPr>
              <w:t xml:space="preserve">מקור מס' </w:t>
            </w:r>
            <w:r>
              <w:rPr>
                <w:rFonts w:cs="David" w:hint="cs"/>
                <w:b/>
                <w:bCs/>
                <w:rtl/>
              </w:rPr>
              <w:t>10</w:t>
            </w:r>
          </w:p>
        </w:tc>
      </w:tr>
      <w:tr w:rsidR="0075666E" w:rsidRPr="00C84A0F" w:rsidTr="001811A5">
        <w:tc>
          <w:tcPr>
            <w:tcW w:w="1342" w:type="dxa"/>
          </w:tcPr>
          <w:p w:rsidR="0075666E" w:rsidRDefault="0075666E" w:rsidP="001811A5">
            <w:pPr>
              <w:jc w:val="center"/>
              <w:rPr>
                <w:rFonts w:cs="David"/>
                <w:b/>
                <w:bCs/>
                <w:rtl/>
              </w:rPr>
            </w:pPr>
            <w:r>
              <w:rPr>
                <w:rFonts w:cs="David" w:hint="cs"/>
                <w:b/>
                <w:bCs/>
                <w:rtl/>
              </w:rPr>
              <w:t>14</w:t>
            </w:r>
          </w:p>
        </w:tc>
        <w:tc>
          <w:tcPr>
            <w:tcW w:w="5092" w:type="dxa"/>
          </w:tcPr>
          <w:p w:rsidR="0075666E" w:rsidRPr="00C84A0F" w:rsidRDefault="0075666E" w:rsidP="001811A5">
            <w:pPr>
              <w:spacing w:line="360" w:lineRule="auto"/>
              <w:rPr>
                <w:rFonts w:cs="David"/>
                <w:rtl/>
              </w:rPr>
            </w:pPr>
            <w:r>
              <w:rPr>
                <w:rFonts w:cs="David" w:hint="cs"/>
                <w:rtl/>
              </w:rPr>
              <w:t>הערכה ככלי לתכנון הלימודים.</w:t>
            </w:r>
          </w:p>
        </w:tc>
        <w:tc>
          <w:tcPr>
            <w:tcW w:w="2088" w:type="dxa"/>
          </w:tcPr>
          <w:p w:rsidR="0075666E" w:rsidRDefault="0075666E" w:rsidP="001811A5">
            <w:pPr>
              <w:spacing w:line="276" w:lineRule="auto"/>
              <w:rPr>
                <w:rFonts w:cs="David"/>
                <w:b/>
                <w:bCs/>
                <w:rtl/>
              </w:rPr>
            </w:pPr>
            <w:r w:rsidRPr="00C84A0F">
              <w:rPr>
                <w:rFonts w:cs="David" w:hint="cs"/>
                <w:b/>
                <w:bCs/>
                <w:rtl/>
              </w:rPr>
              <w:t xml:space="preserve">מקור מס' </w:t>
            </w:r>
            <w:r>
              <w:rPr>
                <w:rFonts w:cs="David" w:hint="cs"/>
                <w:b/>
                <w:bCs/>
                <w:rtl/>
              </w:rPr>
              <w:t>5</w:t>
            </w:r>
          </w:p>
          <w:p w:rsidR="0075666E" w:rsidRPr="00BC7D9A" w:rsidRDefault="0075666E" w:rsidP="001811A5">
            <w:pPr>
              <w:spacing w:line="276" w:lineRule="auto"/>
              <w:rPr>
                <w:rFonts w:cs="David"/>
                <w:rtl/>
              </w:rPr>
            </w:pPr>
            <w:r w:rsidRPr="00BC7D9A">
              <w:rPr>
                <w:rFonts w:cs="David" w:hint="cs"/>
                <w:rtl/>
              </w:rPr>
              <w:t>עמ' 105-114</w:t>
            </w:r>
          </w:p>
          <w:p w:rsidR="0075666E" w:rsidRPr="00C84A0F" w:rsidRDefault="0075666E" w:rsidP="001811A5">
            <w:pPr>
              <w:spacing w:line="276" w:lineRule="auto"/>
              <w:rPr>
                <w:rFonts w:cs="David"/>
                <w:b/>
                <w:bCs/>
                <w:rtl/>
              </w:rPr>
            </w:pPr>
          </w:p>
        </w:tc>
      </w:tr>
      <w:tr w:rsidR="0075666E" w:rsidRPr="00C84A0F" w:rsidTr="001811A5">
        <w:tc>
          <w:tcPr>
            <w:tcW w:w="1342" w:type="dxa"/>
          </w:tcPr>
          <w:p w:rsidR="0075666E" w:rsidRPr="00C84A0F" w:rsidRDefault="0075666E" w:rsidP="001811A5">
            <w:pPr>
              <w:jc w:val="center"/>
              <w:rPr>
                <w:rFonts w:cs="David"/>
                <w:b/>
                <w:bCs/>
                <w:rtl/>
              </w:rPr>
            </w:pPr>
            <w:r w:rsidRPr="00C84A0F">
              <w:rPr>
                <w:rFonts w:cs="David" w:hint="cs"/>
                <w:b/>
                <w:bCs/>
                <w:rtl/>
              </w:rPr>
              <w:t>15</w:t>
            </w:r>
          </w:p>
        </w:tc>
        <w:tc>
          <w:tcPr>
            <w:tcW w:w="5092" w:type="dxa"/>
          </w:tcPr>
          <w:p w:rsidR="0075666E" w:rsidRPr="00C84A0F" w:rsidRDefault="0075666E" w:rsidP="001811A5">
            <w:pPr>
              <w:spacing w:line="360" w:lineRule="auto"/>
              <w:rPr>
                <w:rFonts w:cs="David"/>
                <w:rtl/>
              </w:rPr>
            </w:pPr>
            <w:r w:rsidRPr="00C84A0F">
              <w:rPr>
                <w:rFonts w:cs="David" w:hint="cs"/>
                <w:rtl/>
              </w:rPr>
              <w:t>הערכה כמנוף ללמידה ארגונית, הערכת ההערכה.</w:t>
            </w:r>
          </w:p>
          <w:p w:rsidR="0075666E" w:rsidRPr="00C84A0F" w:rsidRDefault="0075666E" w:rsidP="001811A5">
            <w:pPr>
              <w:spacing w:line="360" w:lineRule="auto"/>
              <w:rPr>
                <w:rFonts w:cs="David"/>
                <w:rtl/>
              </w:rPr>
            </w:pPr>
            <w:r w:rsidRPr="00C84A0F">
              <w:rPr>
                <w:rFonts w:cs="David" w:hint="cs"/>
                <w:rtl/>
              </w:rPr>
              <w:t>סיכום, הערכה ומשוב.</w:t>
            </w:r>
          </w:p>
          <w:p w:rsidR="0075666E" w:rsidRPr="00C84A0F" w:rsidRDefault="0075666E" w:rsidP="001811A5">
            <w:pPr>
              <w:spacing w:line="360" w:lineRule="auto"/>
              <w:rPr>
                <w:rFonts w:cs="David"/>
                <w:rtl/>
              </w:rPr>
            </w:pPr>
          </w:p>
        </w:tc>
        <w:tc>
          <w:tcPr>
            <w:tcW w:w="2088" w:type="dxa"/>
          </w:tcPr>
          <w:p w:rsidR="0075666E" w:rsidRPr="00C84A0F" w:rsidRDefault="0075666E" w:rsidP="001811A5">
            <w:pPr>
              <w:spacing w:line="276" w:lineRule="auto"/>
              <w:rPr>
                <w:rFonts w:cs="David"/>
                <w:b/>
                <w:bCs/>
                <w:rtl/>
              </w:rPr>
            </w:pPr>
            <w:r w:rsidRPr="00C84A0F">
              <w:rPr>
                <w:rFonts w:cs="David" w:hint="cs"/>
                <w:b/>
                <w:bCs/>
                <w:rtl/>
              </w:rPr>
              <w:t>מקור מס' 4</w:t>
            </w:r>
          </w:p>
          <w:p w:rsidR="0075666E" w:rsidRPr="00C84A0F" w:rsidRDefault="0075666E" w:rsidP="001811A5">
            <w:pPr>
              <w:spacing w:line="276" w:lineRule="auto"/>
              <w:rPr>
                <w:rFonts w:cs="David"/>
                <w:rtl/>
              </w:rPr>
            </w:pPr>
            <w:r w:rsidRPr="00C84A0F">
              <w:rPr>
                <w:rFonts w:cs="David" w:hint="cs"/>
                <w:rtl/>
              </w:rPr>
              <w:t>עמ' 37- 68</w:t>
            </w:r>
          </w:p>
          <w:p w:rsidR="0075666E" w:rsidRPr="00C84A0F" w:rsidRDefault="0075666E" w:rsidP="001811A5">
            <w:pPr>
              <w:spacing w:line="276" w:lineRule="auto"/>
              <w:rPr>
                <w:rFonts w:cs="David"/>
                <w:rtl/>
              </w:rPr>
            </w:pPr>
            <w:r w:rsidRPr="00C84A0F">
              <w:rPr>
                <w:rFonts w:cs="David" w:hint="cs"/>
                <w:rtl/>
              </w:rPr>
              <w:t>230- 240</w:t>
            </w:r>
          </w:p>
        </w:tc>
      </w:tr>
    </w:tbl>
    <w:p w:rsidR="0075666E" w:rsidRPr="00C84A0F" w:rsidRDefault="0075666E" w:rsidP="0075666E">
      <w:pPr>
        <w:keepNext/>
        <w:tabs>
          <w:tab w:val="right" w:pos="5786"/>
        </w:tabs>
        <w:jc w:val="center"/>
        <w:outlineLvl w:val="7"/>
        <w:rPr>
          <w:rFonts w:ascii="Arial" w:hAnsi="Arial" w:cs="David"/>
          <w:b/>
          <w:bCs/>
          <w:u w:val="single"/>
          <w:rtl/>
          <w:lang w:val="x-none"/>
        </w:rPr>
      </w:pPr>
      <w:r w:rsidRPr="00C84A0F">
        <w:rPr>
          <w:rFonts w:ascii="Arial" w:hAnsi="Arial" w:cs="David" w:hint="cs"/>
          <w:b/>
          <w:bCs/>
          <w:u w:val="single"/>
          <w:rtl/>
          <w:lang w:val="x-none"/>
        </w:rPr>
        <w:t>ביבליוגרפיה</w:t>
      </w:r>
    </w:p>
    <w:p w:rsidR="0075666E" w:rsidRPr="00C84A0F" w:rsidRDefault="0075666E" w:rsidP="0075666E">
      <w:pPr>
        <w:rPr>
          <w:rFonts w:cs="David"/>
          <w:b/>
          <w:bCs/>
          <w:rtl/>
        </w:rPr>
      </w:pPr>
      <w:r w:rsidRPr="00C84A0F">
        <w:rPr>
          <w:rFonts w:cs="David" w:hint="cs"/>
          <w:b/>
          <w:bCs/>
          <w:rtl/>
        </w:rPr>
        <w:t>מקורות חובה:</w:t>
      </w:r>
    </w:p>
    <w:p w:rsidR="0075666E" w:rsidRPr="00C84A0F" w:rsidRDefault="0075666E" w:rsidP="0075666E">
      <w:pPr>
        <w:rPr>
          <w:rFonts w:cs="David"/>
          <w:b/>
          <w:bCs/>
          <w:rtl/>
        </w:rPr>
      </w:pPr>
    </w:p>
    <w:p w:rsidR="0075666E" w:rsidRPr="00C84A0F" w:rsidRDefault="0075666E" w:rsidP="0075666E">
      <w:pPr>
        <w:numPr>
          <w:ilvl w:val="0"/>
          <w:numId w:val="3"/>
        </w:numPr>
        <w:spacing w:line="360" w:lineRule="auto"/>
        <w:jc w:val="both"/>
        <w:outlineLvl w:val="8"/>
        <w:rPr>
          <w:rFonts w:ascii="Arial" w:hAnsi="Arial" w:cs="David"/>
          <w:rtl/>
          <w:lang w:val="x-none"/>
        </w:rPr>
      </w:pPr>
      <w:r w:rsidRPr="00C84A0F">
        <w:rPr>
          <w:rFonts w:ascii="Arial" w:hAnsi="Arial" w:cs="David" w:hint="cs"/>
          <w:rtl/>
          <w:lang w:val="x-none"/>
        </w:rPr>
        <w:t xml:space="preserve">בירנבוים, מ' ( 1997). </w:t>
      </w:r>
      <w:r w:rsidRPr="00C84A0F">
        <w:rPr>
          <w:rFonts w:ascii="Arial" w:hAnsi="Arial" w:cs="David" w:hint="cs"/>
          <w:i/>
          <w:iCs/>
          <w:rtl/>
          <w:lang w:val="x-none"/>
        </w:rPr>
        <w:t>חלופות בהערכת הישגים.</w:t>
      </w:r>
      <w:r w:rsidRPr="00C84A0F">
        <w:rPr>
          <w:rFonts w:ascii="Arial" w:hAnsi="Arial" w:cs="David" w:hint="cs"/>
          <w:rtl/>
          <w:lang w:val="x-none"/>
        </w:rPr>
        <w:t xml:space="preserve"> תל-אביב: הוצאת רמות.</w:t>
      </w:r>
    </w:p>
    <w:p w:rsidR="0075666E" w:rsidRPr="00C84A0F" w:rsidRDefault="0075666E" w:rsidP="0075666E">
      <w:pPr>
        <w:numPr>
          <w:ilvl w:val="0"/>
          <w:numId w:val="3"/>
        </w:numPr>
        <w:spacing w:line="360" w:lineRule="auto"/>
        <w:jc w:val="both"/>
        <w:rPr>
          <w:rFonts w:cs="David"/>
          <w:rtl/>
        </w:rPr>
      </w:pPr>
      <w:r w:rsidRPr="00C84A0F">
        <w:rPr>
          <w:rFonts w:cs="David" w:hint="cs"/>
          <w:rtl/>
        </w:rPr>
        <w:t xml:space="preserve">בירנבוים, מ' (2009). "הערכה לשם למידה ומאפיינים של קהילה מקצועית בית-ספרית ותרבות כיתה המעצימים אותה". בתוך: קשתי, י' (עורך). </w:t>
      </w:r>
      <w:r w:rsidRPr="00C84A0F">
        <w:rPr>
          <w:rFonts w:cs="David" w:hint="cs"/>
          <w:i/>
          <w:iCs/>
          <w:rtl/>
        </w:rPr>
        <w:t>הערכה, חינוך יהודי ותולדות החינוך: אסופה לזכרו של פרופסור אריה לוי.</w:t>
      </w:r>
      <w:r w:rsidRPr="00C84A0F">
        <w:rPr>
          <w:rFonts w:cs="David" w:hint="cs"/>
          <w:rtl/>
        </w:rPr>
        <w:t xml:space="preserve"> (עמ' 55-77). אוניברסיטת תל-אביב: בית הספר לחינוך והוצאת רמות.</w:t>
      </w:r>
    </w:p>
    <w:p w:rsidR="0075666E" w:rsidRPr="00C84A0F" w:rsidRDefault="0075666E" w:rsidP="0075666E">
      <w:pPr>
        <w:numPr>
          <w:ilvl w:val="0"/>
          <w:numId w:val="3"/>
        </w:numPr>
        <w:spacing w:line="360" w:lineRule="auto"/>
        <w:jc w:val="both"/>
        <w:outlineLvl w:val="8"/>
        <w:rPr>
          <w:rFonts w:ascii="Arial" w:hAnsi="Arial" w:cs="David"/>
          <w:rtl/>
          <w:lang w:val="x-none"/>
        </w:rPr>
      </w:pPr>
      <w:r w:rsidRPr="00C84A0F">
        <w:rPr>
          <w:rFonts w:ascii="Arial" w:hAnsi="Arial" w:cs="David" w:hint="cs"/>
          <w:rtl/>
          <w:lang w:val="x-none"/>
        </w:rPr>
        <w:t xml:space="preserve">גלובמן, ר' ועליא, ק' (2005). </w:t>
      </w:r>
      <w:r w:rsidRPr="00C84A0F">
        <w:rPr>
          <w:rFonts w:ascii="Arial" w:hAnsi="Arial" w:cs="David" w:hint="cs"/>
          <w:i/>
          <w:iCs/>
          <w:rtl/>
          <w:lang w:val="x-none"/>
        </w:rPr>
        <w:t>הערכה מרובת פנים במערכת החינוך</w:t>
      </w:r>
      <w:r w:rsidRPr="00C84A0F">
        <w:rPr>
          <w:rFonts w:ascii="Arial" w:hAnsi="Arial" w:cs="David" w:hint="cs"/>
          <w:b/>
          <w:bCs/>
          <w:rtl/>
          <w:lang w:val="x-none"/>
        </w:rPr>
        <w:t>.</w:t>
      </w:r>
      <w:r w:rsidRPr="00C84A0F">
        <w:rPr>
          <w:rFonts w:ascii="Arial" w:hAnsi="Arial" w:cs="David" w:hint="cs"/>
          <w:rtl/>
          <w:lang w:val="x-none"/>
        </w:rPr>
        <w:t xml:space="preserve"> חולון: יסוד. </w:t>
      </w:r>
    </w:p>
    <w:p w:rsidR="0075666E" w:rsidRDefault="0075666E" w:rsidP="0075666E">
      <w:pPr>
        <w:numPr>
          <w:ilvl w:val="0"/>
          <w:numId w:val="3"/>
        </w:numPr>
        <w:spacing w:line="360" w:lineRule="auto"/>
        <w:jc w:val="both"/>
        <w:rPr>
          <w:rFonts w:cs="David"/>
        </w:rPr>
      </w:pPr>
      <w:r w:rsidRPr="00C84A0F">
        <w:rPr>
          <w:rFonts w:cs="David" w:hint="cs"/>
          <w:rtl/>
        </w:rPr>
        <w:t xml:space="preserve">זוהר, ע' (2013). </w:t>
      </w:r>
      <w:r w:rsidRPr="00C84A0F">
        <w:rPr>
          <w:rFonts w:cs="David" w:hint="cs"/>
          <w:i/>
          <w:iCs/>
          <w:rtl/>
        </w:rPr>
        <w:t>ציונים זה לא הכול: לקראת שיקומו של השיח הפדגוגי</w:t>
      </w:r>
      <w:r w:rsidRPr="00C84A0F">
        <w:rPr>
          <w:rFonts w:cs="David" w:hint="cs"/>
          <w:rtl/>
        </w:rPr>
        <w:t xml:space="preserve">. תל אביב: ספריית הפועלים. </w:t>
      </w:r>
    </w:p>
    <w:p w:rsidR="0075666E" w:rsidRPr="00C84A0F" w:rsidRDefault="0075666E" w:rsidP="0075666E">
      <w:pPr>
        <w:numPr>
          <w:ilvl w:val="0"/>
          <w:numId w:val="3"/>
        </w:numPr>
        <w:spacing w:line="360" w:lineRule="auto"/>
        <w:outlineLvl w:val="8"/>
        <w:rPr>
          <w:rFonts w:ascii="Arial" w:hAnsi="Arial" w:cs="David"/>
          <w:rtl/>
          <w:lang w:val="x-none"/>
        </w:rPr>
      </w:pPr>
      <w:r>
        <w:rPr>
          <w:rFonts w:ascii="Arial" w:hAnsi="Arial" w:cs="David" w:hint="cs"/>
          <w:rtl/>
          <w:lang w:val="x-none"/>
        </w:rPr>
        <w:t>זלברשטיין, מ' (עורך)</w:t>
      </w:r>
      <w:r w:rsidRPr="00C84A0F">
        <w:rPr>
          <w:rFonts w:ascii="Arial" w:hAnsi="Arial" w:cs="David" w:hint="cs"/>
          <w:rtl/>
          <w:lang w:val="x-none"/>
        </w:rPr>
        <w:t xml:space="preserve"> ( 1992).  </w:t>
      </w:r>
      <w:r w:rsidRPr="00C84A0F">
        <w:rPr>
          <w:rFonts w:ascii="Arial" w:hAnsi="Arial" w:cs="David" w:hint="cs"/>
          <w:i/>
          <w:iCs/>
          <w:rtl/>
          <w:lang w:val="x-none"/>
        </w:rPr>
        <w:t>הערכה בתכנון לימודים ובהוראה: פרספקטיבה של</w:t>
      </w:r>
      <w:r w:rsidRPr="00C84A0F">
        <w:rPr>
          <w:rFonts w:ascii="Arial" w:hAnsi="Arial" w:cs="David" w:hint="cs"/>
          <w:b/>
          <w:bCs/>
          <w:rtl/>
          <w:lang w:val="x-none"/>
        </w:rPr>
        <w:t xml:space="preserve"> </w:t>
      </w:r>
      <w:r w:rsidRPr="00C84A0F">
        <w:rPr>
          <w:rFonts w:ascii="Arial" w:hAnsi="Arial" w:cs="David" w:hint="cs"/>
          <w:i/>
          <w:iCs/>
          <w:rtl/>
          <w:lang w:val="x-none"/>
        </w:rPr>
        <w:t>המורה</w:t>
      </w:r>
      <w:r w:rsidRPr="00C84A0F">
        <w:rPr>
          <w:rFonts w:ascii="Arial" w:hAnsi="Arial" w:cs="David" w:hint="cs"/>
          <w:rtl/>
          <w:lang w:val="x-none"/>
        </w:rPr>
        <w:t xml:space="preserve">.  </w:t>
      </w:r>
      <w:r w:rsidRPr="00C84A0F">
        <w:rPr>
          <w:rFonts w:ascii="Arial" w:hAnsi="Arial" w:cs="David"/>
          <w:rtl/>
          <w:lang w:val="x-none"/>
        </w:rPr>
        <w:t>ירושלים: משרד החינוך והתרבות, האגף לתכניות לימודים</w:t>
      </w:r>
      <w:r w:rsidRPr="00C84A0F">
        <w:rPr>
          <w:rFonts w:ascii="Arial" w:hAnsi="Arial" w:cs="David" w:hint="cs"/>
          <w:rtl/>
          <w:lang w:val="x-none"/>
        </w:rPr>
        <w:t xml:space="preserve">.  </w:t>
      </w:r>
    </w:p>
    <w:p w:rsidR="0075666E" w:rsidRPr="00C84A0F" w:rsidRDefault="0075666E" w:rsidP="0075666E">
      <w:pPr>
        <w:numPr>
          <w:ilvl w:val="0"/>
          <w:numId w:val="3"/>
        </w:numPr>
        <w:spacing w:line="360" w:lineRule="auto"/>
        <w:jc w:val="both"/>
        <w:outlineLvl w:val="8"/>
        <w:rPr>
          <w:rFonts w:ascii="Arial" w:hAnsi="Arial" w:cs="David"/>
          <w:rtl/>
          <w:lang w:val="x-none"/>
        </w:rPr>
      </w:pPr>
      <w:r w:rsidRPr="00C84A0F">
        <w:rPr>
          <w:rFonts w:ascii="Arial" w:hAnsi="Arial" w:cs="David" w:hint="cs"/>
          <w:rtl/>
          <w:lang w:val="x-none"/>
        </w:rPr>
        <w:t xml:space="preserve">לוי, י' (1977). </w:t>
      </w:r>
      <w:r w:rsidRPr="00C84A0F">
        <w:rPr>
          <w:rFonts w:ascii="Arial" w:hAnsi="Arial" w:cs="David" w:hint="cs"/>
          <w:i/>
          <w:iCs/>
          <w:rtl/>
          <w:lang w:val="x-none"/>
        </w:rPr>
        <w:t>הישגים לימודיים הערכה ומדידה</w:t>
      </w:r>
      <w:r w:rsidRPr="00C84A0F">
        <w:rPr>
          <w:rFonts w:ascii="Arial" w:hAnsi="Arial" w:cs="David" w:hint="cs"/>
          <w:b/>
          <w:bCs/>
          <w:rtl/>
          <w:lang w:val="x-none"/>
        </w:rPr>
        <w:t xml:space="preserve"> </w:t>
      </w:r>
      <w:r w:rsidRPr="00C84A0F">
        <w:rPr>
          <w:rFonts w:ascii="Arial" w:hAnsi="Arial" w:cs="David" w:hint="cs"/>
          <w:rtl/>
          <w:lang w:val="x-none"/>
        </w:rPr>
        <w:t xml:space="preserve">(כרך א). תל-אביב: הוצאת דקל. </w:t>
      </w:r>
    </w:p>
    <w:p w:rsidR="0075666E" w:rsidRPr="00C84A0F" w:rsidRDefault="0075666E" w:rsidP="0075666E">
      <w:pPr>
        <w:numPr>
          <w:ilvl w:val="0"/>
          <w:numId w:val="3"/>
        </w:numPr>
        <w:spacing w:line="360" w:lineRule="auto"/>
        <w:jc w:val="both"/>
        <w:rPr>
          <w:rFonts w:ascii="Bookman Old Style" w:hAnsi="Bookman Old Style" w:cs="David"/>
        </w:rPr>
      </w:pPr>
      <w:r w:rsidRPr="00C84A0F">
        <w:rPr>
          <w:rFonts w:ascii="Bookman Old Style" w:hAnsi="Bookman Old Style" w:cs="David" w:hint="cs"/>
          <w:rtl/>
        </w:rPr>
        <w:t xml:space="preserve">משרד החינוך, (2014). </w:t>
      </w:r>
      <w:r w:rsidRPr="00C84A0F">
        <w:rPr>
          <w:rFonts w:ascii="Bookman Old Style" w:hAnsi="Bookman Old Style" w:cs="David" w:hint="cs"/>
          <w:i/>
          <w:iCs/>
          <w:rtl/>
        </w:rPr>
        <w:t>משהו טוב קורה עכשיו: אבני דרך בלמידה משמעותית</w:t>
      </w:r>
      <w:r w:rsidRPr="00C84A0F">
        <w:rPr>
          <w:rFonts w:ascii="Bookman Old Style" w:hAnsi="Bookman Old Style" w:cs="David" w:hint="cs"/>
          <w:rtl/>
        </w:rPr>
        <w:t xml:space="preserve">. ירושלים: המזכירות הפדגוגית. </w:t>
      </w:r>
    </w:p>
    <w:p w:rsidR="0075666E" w:rsidRPr="00C84A0F" w:rsidRDefault="0075666E" w:rsidP="0075666E">
      <w:pPr>
        <w:spacing w:line="360" w:lineRule="auto"/>
        <w:ind w:left="360" w:right="720"/>
      </w:pPr>
      <w:r w:rsidRPr="00C84A0F">
        <w:rPr>
          <w:rFonts w:ascii="Bookman Old Style" w:hAnsi="Bookman Old Style" w:cs="David" w:hint="cs"/>
          <w:rtl/>
        </w:rPr>
        <w:t xml:space="preserve">אוחזר מ-: </w:t>
      </w:r>
      <w:r w:rsidRPr="00C84A0F">
        <w:t>http://meyda.education.gov.il/files/lemidamashmautit/chozer/index.html</w:t>
      </w:r>
    </w:p>
    <w:p w:rsidR="0075666E" w:rsidRPr="00C84A0F" w:rsidRDefault="0075666E" w:rsidP="0075666E">
      <w:pPr>
        <w:numPr>
          <w:ilvl w:val="0"/>
          <w:numId w:val="3"/>
        </w:numPr>
        <w:spacing w:line="360" w:lineRule="auto"/>
        <w:rPr>
          <w:rFonts w:ascii="Bookman Old Style" w:hAnsi="Bookman Old Style" w:cs="David"/>
        </w:rPr>
      </w:pPr>
      <w:r w:rsidRPr="00C84A0F">
        <w:rPr>
          <w:rFonts w:ascii="Bookman Old Style" w:hAnsi="Bookman Old Style" w:cs="David" w:hint="cs"/>
          <w:rtl/>
        </w:rPr>
        <w:t>נבו,</w:t>
      </w:r>
      <w:r w:rsidRPr="00C84A0F">
        <w:rPr>
          <w:rFonts w:ascii="Bookman Old Style" w:hAnsi="Bookman Old Style" w:cs="David" w:hint="cs"/>
          <w:rtl/>
          <w:lang w:bidi="ar-SA"/>
        </w:rPr>
        <w:t xml:space="preserve"> </w:t>
      </w:r>
      <w:r w:rsidRPr="00C84A0F">
        <w:rPr>
          <w:rFonts w:ascii="Bookman Old Style" w:hAnsi="Bookman Old Style" w:cs="David" w:hint="cs"/>
          <w:rtl/>
        </w:rPr>
        <w:t xml:space="preserve">ד' ( 2001). </w:t>
      </w:r>
      <w:r w:rsidRPr="00C84A0F">
        <w:rPr>
          <w:rFonts w:ascii="Bookman Old Style" w:hAnsi="Bookman Old Style" w:cs="David" w:hint="cs"/>
          <w:i/>
          <w:iCs/>
          <w:rtl/>
        </w:rPr>
        <w:t>הערכה בית ספרית-דיאלוג לשיפור בית הספר</w:t>
      </w:r>
      <w:r w:rsidRPr="00C84A0F">
        <w:rPr>
          <w:rFonts w:ascii="Bookman Old Style" w:hAnsi="Bookman Old Style" w:cs="David" w:hint="cs"/>
          <w:b/>
          <w:bCs/>
          <w:rtl/>
        </w:rPr>
        <w:t xml:space="preserve">: </w:t>
      </w:r>
      <w:r w:rsidRPr="00C84A0F">
        <w:rPr>
          <w:rFonts w:ascii="Bookman Old Style" w:hAnsi="Bookman Old Style" w:cs="David" w:hint="cs"/>
          <w:rtl/>
        </w:rPr>
        <w:t>אבן-יהודה: הוצאת רכס.</w:t>
      </w:r>
    </w:p>
    <w:p w:rsidR="0075666E" w:rsidRPr="00C84A0F" w:rsidRDefault="0075666E" w:rsidP="0075666E">
      <w:pPr>
        <w:numPr>
          <w:ilvl w:val="0"/>
          <w:numId w:val="3"/>
        </w:numPr>
        <w:bidi w:val="0"/>
        <w:spacing w:line="360" w:lineRule="auto"/>
        <w:jc w:val="both"/>
      </w:pPr>
      <w:r w:rsidRPr="00C84A0F">
        <w:t>Asa, G. H.</w:t>
      </w:r>
      <w:r>
        <w:t xml:space="preserve"> </w:t>
      </w:r>
      <w:r w:rsidRPr="00C84A0F">
        <w:t xml:space="preserve">(2000). Excellence in education versus high-stakes standardized testing. </w:t>
      </w:r>
      <w:r w:rsidRPr="00C84A0F">
        <w:rPr>
          <w:i/>
          <w:iCs/>
        </w:rPr>
        <w:t>Journal of teacher education. 51</w:t>
      </w:r>
      <w:r w:rsidRPr="00C84A0F">
        <w:t>(4), 293-304.</w:t>
      </w:r>
    </w:p>
    <w:p w:rsidR="0075666E" w:rsidRPr="00C84A0F" w:rsidRDefault="0075666E" w:rsidP="0075666E">
      <w:pPr>
        <w:numPr>
          <w:ilvl w:val="0"/>
          <w:numId w:val="3"/>
        </w:numPr>
        <w:bidi w:val="0"/>
        <w:spacing w:line="360" w:lineRule="auto"/>
        <w:jc w:val="both"/>
        <w:rPr>
          <w:rFonts w:cs="David"/>
          <w:b/>
          <w:bCs/>
        </w:rPr>
      </w:pPr>
      <w:r w:rsidRPr="00C84A0F">
        <w:lastRenderedPageBreak/>
        <w:t xml:space="preserve">Barrett, H., &amp; Garrett, N. (2009). Online personal learning environments: structuring electronic portfolios for lifelong and life wide learning. </w:t>
      </w:r>
      <w:r w:rsidRPr="00C84A0F">
        <w:rPr>
          <w:i/>
          <w:iCs/>
        </w:rPr>
        <w:t>On the Horizon, 17(2)</w:t>
      </w:r>
      <w:r w:rsidRPr="00C84A0F">
        <w:rPr>
          <w:b/>
          <w:bCs/>
        </w:rPr>
        <w:t>,</w:t>
      </w:r>
      <w:r w:rsidRPr="00C84A0F">
        <w:t xml:space="preserve"> 142–152.</w:t>
      </w:r>
    </w:p>
    <w:p w:rsidR="0075666E" w:rsidRPr="00C84A0F" w:rsidRDefault="0075666E" w:rsidP="0075666E">
      <w:pPr>
        <w:numPr>
          <w:ilvl w:val="0"/>
          <w:numId w:val="3"/>
        </w:numPr>
        <w:bidi w:val="0"/>
        <w:spacing w:line="360" w:lineRule="auto"/>
        <w:jc w:val="both"/>
        <w:rPr>
          <w:rFonts w:cs="David"/>
          <w:b/>
          <w:bCs/>
        </w:rPr>
      </w:pPr>
      <w:r w:rsidRPr="00C84A0F">
        <w:rPr>
          <w:rFonts w:cs="David"/>
        </w:rPr>
        <w:t xml:space="preserve">Brookhart, S. (2010). </w:t>
      </w:r>
      <w:r w:rsidRPr="00C84A0F">
        <w:rPr>
          <w:rFonts w:cs="David"/>
          <w:i/>
          <w:iCs/>
        </w:rPr>
        <w:t>How to assess higher order thinking skills in your classroom</w:t>
      </w:r>
      <w:r w:rsidRPr="00C84A0F">
        <w:rPr>
          <w:rFonts w:cs="David"/>
        </w:rPr>
        <w:t xml:space="preserve">. Virginia: ASCD. </w:t>
      </w:r>
    </w:p>
    <w:p w:rsidR="0075666E" w:rsidRPr="00C84A0F" w:rsidRDefault="0075666E" w:rsidP="0075666E">
      <w:pPr>
        <w:numPr>
          <w:ilvl w:val="0"/>
          <w:numId w:val="3"/>
        </w:numPr>
        <w:bidi w:val="0"/>
        <w:spacing w:line="360" w:lineRule="auto"/>
        <w:jc w:val="both"/>
        <w:rPr>
          <w:rFonts w:cs="David"/>
          <w:b/>
          <w:bCs/>
        </w:rPr>
      </w:pPr>
      <w:r w:rsidRPr="00C84A0F">
        <w:t xml:space="preserve">Guba E.G., &amp; </w:t>
      </w:r>
      <w:r w:rsidRPr="00C84A0F">
        <w:rPr>
          <w:snapToGrid w:val="0"/>
        </w:rPr>
        <w:t xml:space="preserve">Lincoln, Y.S. </w:t>
      </w:r>
      <w:r w:rsidRPr="00C84A0F">
        <w:t xml:space="preserve">(1989). </w:t>
      </w:r>
      <w:r w:rsidRPr="00C84A0F">
        <w:rPr>
          <w:i/>
          <w:iCs/>
        </w:rPr>
        <w:t>Fourth Generation Evaluation</w:t>
      </w:r>
      <w:r w:rsidRPr="00C84A0F">
        <w:t xml:space="preserve">. </w:t>
      </w:r>
      <w:smartTag w:uri="urn:schemas-microsoft-com:office:smarttags" w:element="place">
        <w:smartTag w:uri="urn:schemas-microsoft-com:office:smarttags" w:element="City">
          <w:r w:rsidRPr="00C84A0F">
            <w:t>London</w:t>
          </w:r>
        </w:smartTag>
      </w:smartTag>
      <w:r w:rsidRPr="00C84A0F">
        <w:t>: Sage Publications</w:t>
      </w:r>
      <w:proofErr w:type="gramStart"/>
      <w:r w:rsidRPr="00C84A0F">
        <w:t>..</w:t>
      </w:r>
      <w:proofErr w:type="gramEnd"/>
      <w:r w:rsidRPr="00C84A0F">
        <w:rPr>
          <w:rFonts w:cs="David" w:hint="cs"/>
          <w:b/>
          <w:bCs/>
          <w:rtl/>
        </w:rPr>
        <w:t xml:space="preserve">   </w:t>
      </w:r>
      <w:r w:rsidRPr="00C84A0F">
        <w:rPr>
          <w:rFonts w:cs="David" w:hint="cs"/>
          <w:rtl/>
        </w:rPr>
        <w:t xml:space="preserve">   פרק הגישה הרביעית מתורגם לעברית, 12 עמודים</w:t>
      </w:r>
      <w:r w:rsidRPr="00C84A0F">
        <w:rPr>
          <w:rFonts w:cs="David" w:hint="cs"/>
          <w:b/>
          <w:bCs/>
          <w:rtl/>
        </w:rPr>
        <w:t xml:space="preserve">. </w:t>
      </w:r>
    </w:p>
    <w:p w:rsidR="0075666E" w:rsidRPr="00C84A0F" w:rsidRDefault="0075666E" w:rsidP="0075666E">
      <w:pPr>
        <w:numPr>
          <w:ilvl w:val="0"/>
          <w:numId w:val="3"/>
        </w:numPr>
        <w:bidi w:val="0"/>
        <w:spacing w:line="360" w:lineRule="auto"/>
        <w:jc w:val="both"/>
        <w:rPr>
          <w:rFonts w:cs="David"/>
          <w:rtl/>
        </w:rPr>
      </w:pPr>
      <w:r w:rsidRPr="00C84A0F">
        <w:rPr>
          <w:snapToGrid w:val="0"/>
        </w:rPr>
        <w:t xml:space="preserve">Guba, E.G., &amp; Lincoln, Y.S. (1982). </w:t>
      </w:r>
      <w:r w:rsidRPr="00C84A0F">
        <w:rPr>
          <w:i/>
          <w:iCs/>
          <w:snapToGrid w:val="0"/>
        </w:rPr>
        <w:t>Effective Evaluation</w:t>
      </w:r>
      <w:r w:rsidRPr="00C84A0F">
        <w:rPr>
          <w:snapToGrid w:val="0"/>
        </w:rPr>
        <w:t xml:space="preserve">. USA: </w:t>
      </w:r>
      <w:proofErr w:type="spellStart"/>
      <w:r w:rsidRPr="00C84A0F">
        <w:rPr>
          <w:snapToGrid w:val="0"/>
        </w:rPr>
        <w:t>Jossey</w:t>
      </w:r>
      <w:proofErr w:type="spellEnd"/>
      <w:r w:rsidRPr="00C84A0F">
        <w:rPr>
          <w:snapToGrid w:val="0"/>
        </w:rPr>
        <w:t xml:space="preserve">-Bass. </w:t>
      </w:r>
    </w:p>
    <w:p w:rsidR="0075666E" w:rsidRPr="00C84A0F" w:rsidRDefault="0075666E" w:rsidP="0075666E">
      <w:pPr>
        <w:spacing w:line="360" w:lineRule="auto"/>
        <w:rPr>
          <w:rFonts w:cs="David"/>
          <w:b/>
          <w:bCs/>
          <w:sz w:val="26"/>
          <w:szCs w:val="26"/>
          <w:rtl/>
        </w:rPr>
      </w:pPr>
      <w:r w:rsidRPr="00C84A0F">
        <w:rPr>
          <w:rFonts w:cs="David" w:hint="cs"/>
          <w:w w:val="90"/>
          <w:rtl/>
        </w:rPr>
        <w:t xml:space="preserve">       </w:t>
      </w:r>
      <w:r w:rsidRPr="00C84A0F">
        <w:rPr>
          <w:rFonts w:cs="David" w:hint="cs"/>
          <w:b/>
          <w:bCs/>
          <w:w w:val="90"/>
          <w:sz w:val="26"/>
          <w:szCs w:val="26"/>
          <w:rtl/>
        </w:rPr>
        <w:t xml:space="preserve">      אתר </w:t>
      </w:r>
      <w:r w:rsidRPr="00C84A0F">
        <w:rPr>
          <w:rFonts w:cs="David"/>
          <w:b/>
          <w:bCs/>
          <w:w w:val="90"/>
          <w:sz w:val="26"/>
          <w:szCs w:val="26"/>
          <w:rtl/>
        </w:rPr>
        <w:t xml:space="preserve">ראמ"ה - </w:t>
      </w:r>
      <w:r w:rsidRPr="00C84A0F">
        <w:rPr>
          <w:rFonts w:cs="David"/>
          <w:w w:val="90"/>
          <w:sz w:val="26"/>
          <w:szCs w:val="26"/>
          <w:rtl/>
        </w:rPr>
        <w:t>רשות ארצית למדידה והערכה בחינוך</w:t>
      </w:r>
      <w:r w:rsidRPr="00C84A0F">
        <w:rPr>
          <w:rFonts w:cs="David" w:hint="cs"/>
          <w:w w:val="90"/>
          <w:sz w:val="26"/>
          <w:szCs w:val="26"/>
          <w:rtl/>
        </w:rPr>
        <w:t>, משרד החינוך, מלווה את הקורס.</w:t>
      </w:r>
      <w:r w:rsidRPr="00C84A0F">
        <w:rPr>
          <w:rFonts w:cs="David" w:hint="cs"/>
          <w:b/>
          <w:bCs/>
          <w:w w:val="90"/>
          <w:sz w:val="26"/>
          <w:szCs w:val="26"/>
          <w:rtl/>
        </w:rPr>
        <w:t xml:space="preserve"> </w:t>
      </w:r>
      <w:r w:rsidRPr="00C84A0F">
        <w:rPr>
          <w:rFonts w:cs="David" w:hint="cs"/>
          <w:b/>
          <w:bCs/>
          <w:sz w:val="26"/>
          <w:szCs w:val="26"/>
          <w:rtl/>
        </w:rPr>
        <w:t xml:space="preserve"> </w:t>
      </w:r>
    </w:p>
    <w:p w:rsidR="0075666E" w:rsidRPr="00C84A0F" w:rsidRDefault="004D35E1" w:rsidP="0075666E">
      <w:pPr>
        <w:spacing w:line="360" w:lineRule="auto"/>
        <w:jc w:val="center"/>
        <w:rPr>
          <w:rFonts w:cs="David"/>
          <w:b/>
          <w:bCs/>
          <w:i/>
          <w:iCs/>
          <w:rtl/>
        </w:rPr>
      </w:pPr>
      <w:hyperlink r:id="rId5" w:history="1">
        <w:r w:rsidR="0075666E" w:rsidRPr="00C84A0F">
          <w:rPr>
            <w:rFonts w:cs="David"/>
            <w:b/>
            <w:bCs/>
            <w:i/>
            <w:iCs/>
            <w:color w:val="0000FF"/>
            <w:u w:val="single"/>
          </w:rPr>
          <w:t>http://rama.education.gov.il</w:t>
        </w:r>
      </w:hyperlink>
    </w:p>
    <w:p w:rsidR="0075666E" w:rsidRPr="00C84A0F" w:rsidRDefault="0075666E" w:rsidP="0075666E">
      <w:pPr>
        <w:rPr>
          <w:rFonts w:cs="David"/>
          <w:b/>
          <w:bCs/>
          <w:rtl/>
        </w:rPr>
      </w:pPr>
    </w:p>
    <w:p w:rsidR="0075666E" w:rsidRPr="00C84A0F" w:rsidRDefault="0075666E" w:rsidP="0075666E">
      <w:pPr>
        <w:spacing w:line="360" w:lineRule="auto"/>
        <w:rPr>
          <w:rFonts w:cs="David"/>
          <w:b/>
          <w:bCs/>
          <w:rtl/>
        </w:rPr>
      </w:pPr>
      <w:r w:rsidRPr="00C84A0F">
        <w:rPr>
          <w:rFonts w:cs="David" w:hint="cs"/>
          <w:b/>
          <w:bCs/>
          <w:rtl/>
        </w:rPr>
        <w:t>מקורות רשות:</w:t>
      </w:r>
    </w:p>
    <w:p w:rsidR="0075666E" w:rsidRPr="00C84A0F" w:rsidRDefault="0075666E" w:rsidP="0075666E">
      <w:pPr>
        <w:numPr>
          <w:ilvl w:val="0"/>
          <w:numId w:val="2"/>
        </w:numPr>
        <w:tabs>
          <w:tab w:val="num" w:pos="386"/>
        </w:tabs>
        <w:spacing w:line="360" w:lineRule="auto"/>
        <w:ind w:left="386"/>
        <w:rPr>
          <w:rFonts w:cs="Arabic Transparent"/>
          <w:lang w:bidi="ar-SA"/>
        </w:rPr>
      </w:pPr>
      <w:r w:rsidRPr="00C84A0F">
        <w:rPr>
          <w:rFonts w:cs="Arabic Transparent" w:hint="cs"/>
          <w:rtl/>
          <w:lang w:bidi="ar-SA"/>
        </w:rPr>
        <w:t xml:space="preserve">سمارة، ع.  وآخرون </w:t>
      </w:r>
      <w:r w:rsidRPr="00C84A0F">
        <w:rPr>
          <w:rFonts w:cs="Arabic Transparent" w:hint="cs"/>
          <w:b/>
          <w:bCs/>
          <w:rtl/>
          <w:lang w:bidi="ar-SA"/>
        </w:rPr>
        <w:t>(</w:t>
      </w:r>
      <w:r w:rsidRPr="00C84A0F">
        <w:rPr>
          <w:rFonts w:cs="Arabic Transparent" w:hint="cs"/>
          <w:rtl/>
          <w:lang w:bidi="ar-SA"/>
        </w:rPr>
        <w:t>1989)</w:t>
      </w:r>
      <w:r w:rsidRPr="00C84A0F">
        <w:rPr>
          <w:rFonts w:cs="Arabic Transparent" w:hint="cs"/>
          <w:b/>
          <w:bCs/>
          <w:rtl/>
          <w:lang w:bidi="ar-SA"/>
        </w:rPr>
        <w:t xml:space="preserve">.  </w:t>
      </w:r>
      <w:r w:rsidRPr="00C84A0F">
        <w:rPr>
          <w:rFonts w:cs="Arabic Transparent" w:hint="cs"/>
          <w:i/>
          <w:iCs/>
          <w:rtl/>
          <w:lang w:bidi="ar-SA"/>
        </w:rPr>
        <w:t>مبادئ القياس والتقويم في التربية</w:t>
      </w:r>
      <w:r w:rsidRPr="00C84A0F">
        <w:rPr>
          <w:rFonts w:cs="Arabic Transparent" w:hint="cs"/>
          <w:rtl/>
          <w:lang w:bidi="ar-SA"/>
        </w:rPr>
        <w:t>. عمان: دار الفكر.</w:t>
      </w:r>
    </w:p>
    <w:p w:rsidR="0075666E" w:rsidRPr="00C84A0F" w:rsidRDefault="0075666E" w:rsidP="0075666E">
      <w:pPr>
        <w:tabs>
          <w:tab w:val="num" w:pos="386"/>
        </w:tabs>
        <w:spacing w:line="360" w:lineRule="auto"/>
        <w:ind w:left="386" w:hanging="360"/>
        <w:rPr>
          <w:rFonts w:cs="David"/>
          <w:rtl/>
        </w:rPr>
      </w:pPr>
      <w:r w:rsidRPr="00C84A0F">
        <w:rPr>
          <w:rFonts w:cs="David" w:hint="cs"/>
          <w:rtl/>
        </w:rPr>
        <w:tab/>
        <w:t xml:space="preserve">סמארה, ע' ואחרים (1989). </w:t>
      </w:r>
      <w:r w:rsidRPr="00C84A0F">
        <w:rPr>
          <w:rFonts w:cs="David" w:hint="cs"/>
          <w:i/>
          <w:iCs/>
          <w:rtl/>
        </w:rPr>
        <w:t>יסודות המדידה וההערכה בחינוך</w:t>
      </w:r>
      <w:r w:rsidRPr="00C84A0F">
        <w:rPr>
          <w:rFonts w:cs="David" w:hint="cs"/>
          <w:rtl/>
        </w:rPr>
        <w:t>. רבת-עמון: דאר אלפקר.</w:t>
      </w:r>
    </w:p>
    <w:p w:rsidR="0075666E" w:rsidRPr="00C84A0F" w:rsidRDefault="0075666E" w:rsidP="0075666E">
      <w:pPr>
        <w:keepNext/>
        <w:numPr>
          <w:ilvl w:val="0"/>
          <w:numId w:val="2"/>
        </w:numPr>
        <w:tabs>
          <w:tab w:val="num" w:pos="386"/>
          <w:tab w:val="right" w:pos="5786"/>
        </w:tabs>
        <w:spacing w:line="360" w:lineRule="auto"/>
        <w:ind w:left="386"/>
        <w:outlineLvl w:val="7"/>
        <w:rPr>
          <w:rFonts w:ascii="Arial" w:hAnsi="Arial" w:cs="Arabic Transparent"/>
          <w:rtl/>
          <w:lang w:val="x-none"/>
        </w:rPr>
      </w:pPr>
      <w:r w:rsidRPr="00C84A0F">
        <w:rPr>
          <w:rFonts w:ascii="Arial" w:hAnsi="Arial" w:cs="Arabic Transparent" w:hint="cs"/>
          <w:rtl/>
          <w:lang w:val="x-none" w:bidi="ar-SA"/>
        </w:rPr>
        <w:t>ملحم،</w:t>
      </w:r>
      <w:r w:rsidRPr="00C84A0F">
        <w:rPr>
          <w:rFonts w:ascii="Arial" w:hAnsi="Arial" w:cs="Arabic Transparent" w:hint="cs"/>
          <w:rtl/>
          <w:lang w:val="x-none"/>
        </w:rPr>
        <w:t xml:space="preserve"> </w:t>
      </w:r>
      <w:r w:rsidRPr="00C84A0F">
        <w:rPr>
          <w:rFonts w:ascii="Arial" w:hAnsi="Arial" w:cs="Arabic Transparent" w:hint="cs"/>
          <w:rtl/>
          <w:lang w:val="x-none" w:bidi="ar-SA"/>
        </w:rPr>
        <w:t>س</w:t>
      </w:r>
      <w:r w:rsidRPr="00C84A0F">
        <w:rPr>
          <w:rFonts w:ascii="Arial" w:hAnsi="Arial" w:cs="Arabic Transparent" w:hint="cs"/>
          <w:rtl/>
          <w:lang w:val="x-none"/>
        </w:rPr>
        <w:t xml:space="preserve">. (2000). </w:t>
      </w:r>
      <w:r w:rsidRPr="00C84A0F">
        <w:rPr>
          <w:rFonts w:ascii="Arial" w:hAnsi="Arial" w:cs="Arabic Transparent" w:hint="cs"/>
          <w:i/>
          <w:iCs/>
          <w:rtl/>
          <w:lang w:val="x-none" w:bidi="ar-SA"/>
        </w:rPr>
        <w:t>القياس</w:t>
      </w:r>
      <w:r w:rsidRPr="00C84A0F">
        <w:rPr>
          <w:rFonts w:ascii="Arial" w:hAnsi="Arial" w:cs="Arabic Transparent" w:hint="cs"/>
          <w:i/>
          <w:iCs/>
          <w:rtl/>
          <w:lang w:val="x-none"/>
        </w:rPr>
        <w:t xml:space="preserve"> </w:t>
      </w:r>
      <w:r w:rsidRPr="00C84A0F">
        <w:rPr>
          <w:rFonts w:ascii="Arial" w:hAnsi="Arial" w:cs="Arabic Transparent" w:hint="cs"/>
          <w:i/>
          <w:iCs/>
          <w:rtl/>
          <w:lang w:val="x-none" w:bidi="ar-SA"/>
        </w:rPr>
        <w:t>والتقويم</w:t>
      </w:r>
      <w:r w:rsidRPr="00C84A0F">
        <w:rPr>
          <w:rFonts w:ascii="Arial" w:hAnsi="Arial" w:cs="Arabic Transparent" w:hint="cs"/>
          <w:i/>
          <w:iCs/>
          <w:rtl/>
          <w:lang w:val="x-none"/>
        </w:rPr>
        <w:t xml:space="preserve"> </w:t>
      </w:r>
      <w:r w:rsidRPr="00C84A0F">
        <w:rPr>
          <w:rFonts w:ascii="Arial" w:hAnsi="Arial" w:cs="Arabic Transparent" w:hint="cs"/>
          <w:i/>
          <w:iCs/>
          <w:rtl/>
          <w:lang w:val="x-none" w:bidi="ar-SA"/>
        </w:rPr>
        <w:t>في</w:t>
      </w:r>
      <w:r w:rsidRPr="00C84A0F">
        <w:rPr>
          <w:rFonts w:ascii="Arial" w:hAnsi="Arial" w:cs="Arabic Transparent" w:hint="cs"/>
          <w:i/>
          <w:iCs/>
          <w:rtl/>
          <w:lang w:val="x-none"/>
        </w:rPr>
        <w:t xml:space="preserve"> </w:t>
      </w:r>
      <w:r w:rsidRPr="00C84A0F">
        <w:rPr>
          <w:rFonts w:ascii="Arial" w:hAnsi="Arial" w:cs="Arabic Transparent" w:hint="cs"/>
          <w:i/>
          <w:iCs/>
          <w:rtl/>
          <w:lang w:val="x-none" w:bidi="ar-SA"/>
        </w:rPr>
        <w:t>التربية</w:t>
      </w:r>
      <w:r w:rsidRPr="00C84A0F">
        <w:rPr>
          <w:rFonts w:ascii="Arial" w:hAnsi="Arial" w:cs="Arabic Transparent" w:hint="cs"/>
          <w:i/>
          <w:iCs/>
          <w:rtl/>
          <w:lang w:val="x-none"/>
        </w:rPr>
        <w:t xml:space="preserve"> </w:t>
      </w:r>
      <w:r w:rsidRPr="00C84A0F">
        <w:rPr>
          <w:rFonts w:ascii="Arial" w:hAnsi="Arial" w:cs="Arabic Transparent" w:hint="cs"/>
          <w:i/>
          <w:iCs/>
          <w:rtl/>
          <w:lang w:val="x-none" w:bidi="ar-SA"/>
        </w:rPr>
        <w:t>وعلم</w:t>
      </w:r>
      <w:r w:rsidRPr="00C84A0F">
        <w:rPr>
          <w:rFonts w:ascii="Arial" w:hAnsi="Arial" w:cs="Arabic Transparent" w:hint="cs"/>
          <w:i/>
          <w:iCs/>
          <w:rtl/>
          <w:lang w:val="x-none"/>
        </w:rPr>
        <w:t xml:space="preserve"> </w:t>
      </w:r>
      <w:r w:rsidRPr="00C84A0F">
        <w:rPr>
          <w:rFonts w:ascii="Arial" w:hAnsi="Arial" w:cs="Arabic Transparent" w:hint="cs"/>
          <w:i/>
          <w:iCs/>
          <w:rtl/>
          <w:lang w:val="x-none" w:bidi="ar-SA"/>
        </w:rPr>
        <w:t>النفس</w:t>
      </w:r>
      <w:r w:rsidRPr="00C84A0F">
        <w:rPr>
          <w:rFonts w:ascii="Arial" w:hAnsi="Arial" w:cs="Arabic Transparent" w:hint="cs"/>
          <w:i/>
          <w:iCs/>
          <w:rtl/>
          <w:lang w:val="x-none"/>
        </w:rPr>
        <w:t>.</w:t>
      </w:r>
      <w:r w:rsidRPr="00C84A0F">
        <w:rPr>
          <w:rFonts w:ascii="Arial" w:hAnsi="Arial" w:cs="Arabic Transparent" w:hint="cs"/>
          <w:rtl/>
          <w:lang w:val="x-none"/>
        </w:rPr>
        <w:t xml:space="preserve"> </w:t>
      </w:r>
      <w:r w:rsidRPr="00C84A0F">
        <w:rPr>
          <w:rFonts w:ascii="Arial" w:hAnsi="Arial" w:cs="Arabic Transparent" w:hint="cs"/>
          <w:rtl/>
          <w:lang w:val="x-none" w:bidi="ar-SA"/>
        </w:rPr>
        <w:t>عمان: دار</w:t>
      </w:r>
      <w:r w:rsidRPr="00C84A0F">
        <w:rPr>
          <w:rFonts w:ascii="Arial" w:hAnsi="Arial" w:cs="Arabic Transparent" w:hint="cs"/>
          <w:rtl/>
          <w:lang w:val="x-none"/>
        </w:rPr>
        <w:t xml:space="preserve"> </w:t>
      </w:r>
      <w:r w:rsidRPr="00C84A0F">
        <w:rPr>
          <w:rFonts w:ascii="Arial" w:hAnsi="Arial" w:cs="Arabic Transparent" w:hint="cs"/>
          <w:rtl/>
          <w:lang w:val="x-none" w:bidi="ar-SA"/>
        </w:rPr>
        <w:t>المسيرة. ص 39-52</w:t>
      </w:r>
    </w:p>
    <w:p w:rsidR="0075666E" w:rsidRPr="00C84A0F" w:rsidRDefault="0075666E" w:rsidP="0075666E">
      <w:pPr>
        <w:tabs>
          <w:tab w:val="num" w:pos="386"/>
        </w:tabs>
        <w:spacing w:line="360" w:lineRule="auto"/>
        <w:ind w:left="386" w:hanging="360"/>
        <w:rPr>
          <w:rFonts w:cs="David"/>
          <w:rtl/>
        </w:rPr>
      </w:pPr>
      <w:r w:rsidRPr="00C84A0F">
        <w:rPr>
          <w:rFonts w:cs="David" w:hint="cs"/>
          <w:rtl/>
        </w:rPr>
        <w:tab/>
        <w:t>מלחם, ס' (2000</w:t>
      </w:r>
      <w:r w:rsidRPr="00C84A0F">
        <w:rPr>
          <w:rFonts w:cs="David" w:hint="cs"/>
          <w:i/>
          <w:iCs/>
          <w:rtl/>
        </w:rPr>
        <w:t>). מדידה והערכה בחינוך ובפסיכולוגיה</w:t>
      </w:r>
      <w:r w:rsidRPr="00C84A0F">
        <w:rPr>
          <w:rFonts w:cs="David" w:hint="cs"/>
          <w:rtl/>
        </w:rPr>
        <w:t>. רבת-עמון: דאר אלמסירה. עמ' 39-52.</w:t>
      </w:r>
    </w:p>
    <w:p w:rsidR="0075666E" w:rsidRPr="00C84A0F" w:rsidRDefault="0075666E" w:rsidP="0075666E">
      <w:pPr>
        <w:numPr>
          <w:ilvl w:val="0"/>
          <w:numId w:val="2"/>
        </w:numPr>
        <w:tabs>
          <w:tab w:val="num" w:pos="386"/>
        </w:tabs>
        <w:spacing w:line="360" w:lineRule="auto"/>
        <w:ind w:left="386"/>
        <w:rPr>
          <w:rFonts w:cs="David"/>
          <w:rtl/>
        </w:rPr>
      </w:pPr>
      <w:r w:rsidRPr="00C84A0F">
        <w:rPr>
          <w:rFonts w:cs="David" w:hint="cs"/>
          <w:rtl/>
        </w:rPr>
        <w:t xml:space="preserve">מקטי, ג' (1997). מה קורה בין הערכה להערכה?  </w:t>
      </w:r>
      <w:r w:rsidRPr="00C84A0F">
        <w:rPr>
          <w:rFonts w:cs="David" w:hint="cs"/>
          <w:i/>
          <w:iCs/>
          <w:rtl/>
        </w:rPr>
        <w:t>חינוך החשיבה</w:t>
      </w:r>
      <w:r w:rsidRPr="00C84A0F">
        <w:rPr>
          <w:rFonts w:cs="David" w:hint="cs"/>
          <w:b/>
          <w:bCs/>
          <w:rtl/>
        </w:rPr>
        <w:t xml:space="preserve">, </w:t>
      </w:r>
      <w:r w:rsidRPr="00C84A0F">
        <w:rPr>
          <w:rFonts w:cs="David" w:hint="cs"/>
          <w:rtl/>
        </w:rPr>
        <w:t>10, 53-58.</w:t>
      </w:r>
    </w:p>
    <w:p w:rsidR="0075666E" w:rsidRPr="00C84A0F" w:rsidRDefault="0075666E" w:rsidP="0075666E">
      <w:pPr>
        <w:numPr>
          <w:ilvl w:val="0"/>
          <w:numId w:val="2"/>
        </w:numPr>
        <w:tabs>
          <w:tab w:val="num" w:pos="386"/>
        </w:tabs>
        <w:spacing w:line="360" w:lineRule="auto"/>
        <w:ind w:left="386"/>
        <w:rPr>
          <w:rFonts w:cs="David"/>
        </w:rPr>
      </w:pPr>
      <w:r w:rsidRPr="00C84A0F">
        <w:rPr>
          <w:rFonts w:cs="David" w:hint="cs"/>
          <w:rtl/>
        </w:rPr>
        <w:t xml:space="preserve">נבו, ד' (1981). </w:t>
      </w:r>
      <w:r w:rsidRPr="00C84A0F">
        <w:rPr>
          <w:rFonts w:cs="David" w:hint="cs"/>
          <w:i/>
          <w:iCs/>
          <w:rtl/>
        </w:rPr>
        <w:t>מבחנים וציונים במערכת החינוך</w:t>
      </w:r>
      <w:r w:rsidRPr="00C84A0F">
        <w:rPr>
          <w:rFonts w:cs="David" w:hint="cs"/>
          <w:rtl/>
        </w:rPr>
        <w:t>: תל-אביב: צ'ריקובר. עמ' 13-32.</w:t>
      </w:r>
    </w:p>
    <w:p w:rsidR="0075666E" w:rsidRPr="00C84A0F" w:rsidRDefault="0075666E" w:rsidP="0075666E">
      <w:pPr>
        <w:spacing w:line="360" w:lineRule="auto"/>
        <w:ind w:left="720" w:hanging="360"/>
        <w:rPr>
          <w:i/>
          <w:iCs/>
          <w:rtl/>
        </w:rPr>
      </w:pPr>
    </w:p>
    <w:p w:rsidR="0075666E" w:rsidRPr="00C84A0F" w:rsidRDefault="0075666E" w:rsidP="0075666E">
      <w:pPr>
        <w:numPr>
          <w:ilvl w:val="0"/>
          <w:numId w:val="2"/>
        </w:numPr>
        <w:tabs>
          <w:tab w:val="num" w:pos="360"/>
        </w:tabs>
        <w:bidi w:val="0"/>
        <w:spacing w:line="360" w:lineRule="auto"/>
        <w:ind w:left="360"/>
      </w:pPr>
      <w:r w:rsidRPr="00C84A0F">
        <w:t xml:space="preserve">Barrett, H. (2010). Balancing the two faces of </w:t>
      </w:r>
      <w:proofErr w:type="spellStart"/>
      <w:r w:rsidRPr="00C84A0F">
        <w:t>ePortfolios</w:t>
      </w:r>
      <w:proofErr w:type="spellEnd"/>
      <w:r w:rsidRPr="00C84A0F">
        <w:t>.</w:t>
      </w:r>
      <w:r w:rsidRPr="00C84A0F">
        <w:rPr>
          <w:b/>
          <w:bCs/>
        </w:rPr>
        <w:t xml:space="preserve"> </w:t>
      </w:r>
      <w:proofErr w:type="spellStart"/>
      <w:r w:rsidRPr="00C84A0F">
        <w:rPr>
          <w:i/>
          <w:iCs/>
        </w:rPr>
        <w:t>Educação</w:t>
      </w:r>
      <w:proofErr w:type="spellEnd"/>
      <w:r w:rsidRPr="00C84A0F">
        <w:rPr>
          <w:i/>
          <w:iCs/>
        </w:rPr>
        <w:t xml:space="preserve">, </w:t>
      </w:r>
      <w:proofErr w:type="spellStart"/>
      <w:r w:rsidRPr="00C84A0F">
        <w:rPr>
          <w:i/>
          <w:iCs/>
        </w:rPr>
        <w:t>Formação</w:t>
      </w:r>
      <w:proofErr w:type="spellEnd"/>
      <w:r w:rsidRPr="00C84A0F">
        <w:rPr>
          <w:i/>
          <w:iCs/>
        </w:rPr>
        <w:t xml:space="preserve"> &amp; </w:t>
      </w:r>
      <w:proofErr w:type="spellStart"/>
      <w:r w:rsidRPr="00C84A0F">
        <w:rPr>
          <w:i/>
          <w:iCs/>
        </w:rPr>
        <w:t>Tecnologias</w:t>
      </w:r>
      <w:proofErr w:type="spellEnd"/>
      <w:r w:rsidRPr="00C84A0F">
        <w:rPr>
          <w:i/>
          <w:iCs/>
        </w:rPr>
        <w:t>,</w:t>
      </w:r>
      <w:r w:rsidRPr="00C84A0F">
        <w:t xml:space="preserve"> 3(1), 6–14.</w:t>
      </w:r>
    </w:p>
    <w:p w:rsidR="0075666E" w:rsidRPr="00C84A0F" w:rsidRDefault="0075666E" w:rsidP="0075666E">
      <w:pPr>
        <w:numPr>
          <w:ilvl w:val="0"/>
          <w:numId w:val="2"/>
        </w:numPr>
        <w:tabs>
          <w:tab w:val="num" w:pos="360"/>
        </w:tabs>
        <w:bidi w:val="0"/>
        <w:spacing w:line="360" w:lineRule="auto"/>
        <w:ind w:left="360"/>
      </w:pPr>
      <w:r w:rsidRPr="00C84A0F">
        <w:rPr>
          <w:rFonts w:cs="David"/>
        </w:rPr>
        <w:t xml:space="preserve">Brookhart, S. (2009). </w:t>
      </w:r>
      <w:r w:rsidRPr="00C84A0F">
        <w:rPr>
          <w:color w:val="000000"/>
          <w:shd w:val="clear" w:color="auto" w:fill="FFFFFF"/>
        </w:rPr>
        <w:t xml:space="preserve">Formative Assessment Strategies for Every Classroom. </w:t>
      </w:r>
      <w:r w:rsidRPr="00C84A0F">
        <w:t xml:space="preserve"> </w:t>
      </w:r>
      <w:r w:rsidRPr="00C84A0F">
        <w:rPr>
          <w:rFonts w:cs="David"/>
        </w:rPr>
        <w:t>Virginia: ASCD.</w:t>
      </w:r>
      <w:r w:rsidRPr="00C84A0F">
        <w:t xml:space="preserve">    </w:t>
      </w:r>
    </w:p>
    <w:p w:rsidR="0075666E" w:rsidRPr="00C84A0F" w:rsidRDefault="0075666E" w:rsidP="0075666E">
      <w:pPr>
        <w:numPr>
          <w:ilvl w:val="0"/>
          <w:numId w:val="2"/>
        </w:numPr>
        <w:tabs>
          <w:tab w:val="num" w:pos="360"/>
          <w:tab w:val="left" w:pos="1466"/>
        </w:tabs>
        <w:bidi w:val="0"/>
        <w:spacing w:line="360" w:lineRule="auto"/>
        <w:ind w:left="360"/>
      </w:pPr>
      <w:r w:rsidRPr="00C84A0F">
        <w:t xml:space="preserve">  </w:t>
      </w:r>
      <w:r w:rsidRPr="00C84A0F">
        <w:rPr>
          <w:rFonts w:cs="David"/>
        </w:rPr>
        <w:t xml:space="preserve">Brookhart, S. (2013). </w:t>
      </w:r>
      <w:r w:rsidRPr="00C84A0F">
        <w:rPr>
          <w:rFonts w:cs="David"/>
          <w:i/>
          <w:iCs/>
        </w:rPr>
        <w:t>How to create and use rubrics for formative assessment and grading.</w:t>
      </w:r>
      <w:r w:rsidRPr="00C84A0F">
        <w:rPr>
          <w:rFonts w:cs="David"/>
        </w:rPr>
        <w:t xml:space="preserve"> Beauregard: ASCD.</w:t>
      </w:r>
    </w:p>
    <w:p w:rsidR="0075666E" w:rsidRPr="00C84A0F" w:rsidRDefault="0075666E" w:rsidP="0075666E">
      <w:pPr>
        <w:numPr>
          <w:ilvl w:val="0"/>
          <w:numId w:val="2"/>
        </w:numPr>
        <w:tabs>
          <w:tab w:val="num" w:pos="360"/>
        </w:tabs>
        <w:bidi w:val="0"/>
        <w:spacing w:line="360" w:lineRule="auto"/>
        <w:ind w:left="360"/>
      </w:pPr>
      <w:r w:rsidRPr="00C84A0F">
        <w:t xml:space="preserve"> Darling-Hammond, L. (2004). Standards, accountability and school reform. </w:t>
      </w:r>
      <w:r w:rsidRPr="00C84A0F">
        <w:rPr>
          <w:i/>
          <w:iCs/>
        </w:rPr>
        <w:t>Teachers college record, 6</w:t>
      </w:r>
      <w:r w:rsidRPr="00C84A0F">
        <w:t>(106)</w:t>
      </w:r>
      <w:proofErr w:type="gramStart"/>
      <w:r w:rsidRPr="00C84A0F">
        <w:t>,  1047</w:t>
      </w:r>
      <w:proofErr w:type="gramEnd"/>
      <w:r w:rsidRPr="00C84A0F">
        <w:t>-1085.</w:t>
      </w:r>
    </w:p>
    <w:p w:rsidR="0075666E" w:rsidRPr="00C84A0F" w:rsidRDefault="0075666E" w:rsidP="0075666E">
      <w:pPr>
        <w:numPr>
          <w:ilvl w:val="0"/>
          <w:numId w:val="2"/>
        </w:numPr>
        <w:tabs>
          <w:tab w:val="num" w:pos="360"/>
          <w:tab w:val="left" w:pos="1466"/>
        </w:tabs>
        <w:bidi w:val="0"/>
        <w:spacing w:line="360" w:lineRule="auto"/>
        <w:ind w:left="360"/>
        <w:rPr>
          <w:rFonts w:cs="David"/>
          <w:lang w:val="x-none"/>
        </w:rPr>
      </w:pPr>
      <w:r w:rsidRPr="00C84A0F">
        <w:rPr>
          <w:lang w:val="x-none"/>
        </w:rPr>
        <w:t xml:space="preserve">Darrell, M.W. (2012). </w:t>
      </w:r>
      <w:r w:rsidRPr="00C84A0F">
        <w:rPr>
          <w:i/>
          <w:iCs/>
          <w:lang w:val="x-none"/>
        </w:rPr>
        <w:t>Digital schools: how technology can transform education.</w:t>
      </w:r>
      <w:r w:rsidRPr="00C84A0F">
        <w:rPr>
          <w:lang w:val="x-none"/>
        </w:rPr>
        <w:t xml:space="preserve"> The Brookings Institution, Washington.</w:t>
      </w:r>
    </w:p>
    <w:p w:rsidR="0075666E" w:rsidRPr="00C84A0F" w:rsidRDefault="0075666E" w:rsidP="0075666E">
      <w:pPr>
        <w:numPr>
          <w:ilvl w:val="0"/>
          <w:numId w:val="2"/>
        </w:numPr>
        <w:shd w:val="clear" w:color="auto" w:fill="FFFFFF"/>
        <w:tabs>
          <w:tab w:val="num" w:pos="360"/>
          <w:tab w:val="left" w:pos="1466"/>
        </w:tabs>
        <w:bidi w:val="0"/>
        <w:spacing w:line="360" w:lineRule="auto"/>
        <w:ind w:left="283"/>
        <w:outlineLvl w:val="0"/>
        <w:rPr>
          <w:color w:val="000000"/>
          <w:kern w:val="36"/>
          <w:lang w:val="x-none" w:eastAsia="en-US"/>
        </w:rPr>
      </w:pPr>
      <w:r w:rsidRPr="00C84A0F">
        <w:rPr>
          <w:rFonts w:cs="David"/>
          <w:lang w:val="x-none"/>
        </w:rPr>
        <w:t xml:space="preserve"> </w:t>
      </w:r>
      <w:r w:rsidRPr="00C84A0F">
        <w:rPr>
          <w:color w:val="000000"/>
          <w:kern w:val="36"/>
          <w:lang w:val="x-none" w:eastAsia="en-US"/>
        </w:rPr>
        <w:t>Fisher, D.</w:t>
      </w:r>
      <w:r>
        <w:rPr>
          <w:color w:val="000000"/>
          <w:kern w:val="36"/>
          <w:lang w:eastAsia="en-US" w:bidi="ar-SA"/>
        </w:rPr>
        <w:t>,</w:t>
      </w:r>
      <w:r w:rsidRPr="00C84A0F">
        <w:rPr>
          <w:color w:val="000000"/>
          <w:kern w:val="36"/>
          <w:lang w:val="x-none" w:eastAsia="en-US"/>
        </w:rPr>
        <w:t xml:space="preserve"> &amp; Frey, N. (2007). </w:t>
      </w:r>
      <w:r w:rsidRPr="00C84A0F">
        <w:rPr>
          <w:i/>
          <w:iCs/>
          <w:color w:val="000000"/>
          <w:kern w:val="36"/>
          <w:lang w:val="x-none" w:eastAsia="en-US"/>
        </w:rPr>
        <w:t>Checking for understanding: Formative assessment techniques for your classroom</w:t>
      </w:r>
      <w:r w:rsidRPr="00C84A0F">
        <w:rPr>
          <w:color w:val="000000"/>
          <w:kern w:val="36"/>
          <w:lang w:val="x-none" w:eastAsia="en-US"/>
        </w:rPr>
        <w:t xml:space="preserve">. </w:t>
      </w:r>
      <w:r w:rsidRPr="00C84A0F">
        <w:rPr>
          <w:rFonts w:cs="David"/>
          <w:lang w:val="x-none"/>
        </w:rPr>
        <w:t>Beauregard: ASCD.</w:t>
      </w:r>
    </w:p>
    <w:p w:rsidR="0075666E" w:rsidRPr="00C84A0F" w:rsidRDefault="0075666E" w:rsidP="0075666E">
      <w:pPr>
        <w:numPr>
          <w:ilvl w:val="0"/>
          <w:numId w:val="2"/>
        </w:numPr>
        <w:tabs>
          <w:tab w:val="num" w:pos="360"/>
          <w:tab w:val="left" w:pos="1466"/>
        </w:tabs>
        <w:bidi w:val="0"/>
        <w:spacing w:line="360" w:lineRule="auto"/>
        <w:ind w:left="360"/>
        <w:rPr>
          <w:rFonts w:cs="David"/>
          <w:lang w:val="x-none"/>
        </w:rPr>
      </w:pPr>
      <w:r w:rsidRPr="00C84A0F">
        <w:rPr>
          <w:rFonts w:cs="David"/>
          <w:lang w:val="x-none"/>
        </w:rPr>
        <w:lastRenderedPageBreak/>
        <w:t xml:space="preserve"> </w:t>
      </w:r>
      <w:proofErr w:type="spellStart"/>
      <w:r w:rsidRPr="00C84A0F">
        <w:rPr>
          <w:lang w:val="x-none"/>
        </w:rPr>
        <w:t>Millman</w:t>
      </w:r>
      <w:proofErr w:type="spellEnd"/>
      <w:r w:rsidRPr="00C84A0F">
        <w:rPr>
          <w:lang w:val="x-none"/>
        </w:rPr>
        <w:t>, J., Darling-Hammond, L. (</w:t>
      </w:r>
      <w:proofErr w:type="spellStart"/>
      <w:r w:rsidRPr="00C84A0F">
        <w:rPr>
          <w:lang w:val="x-none"/>
        </w:rPr>
        <w:t>Eds</w:t>
      </w:r>
      <w:proofErr w:type="spellEnd"/>
      <w:r w:rsidRPr="00C84A0F">
        <w:rPr>
          <w:lang w:val="x-none"/>
        </w:rPr>
        <w:t xml:space="preserve">). (1990), </w:t>
      </w:r>
      <w:r w:rsidRPr="00C84A0F">
        <w:rPr>
          <w:i/>
          <w:iCs/>
          <w:lang w:val="x-none"/>
        </w:rPr>
        <w:t>The new handbook of teacher evaluation,</w:t>
      </w:r>
      <w:r w:rsidRPr="00C84A0F">
        <w:rPr>
          <w:b/>
          <w:bCs/>
          <w:lang w:val="x-none"/>
        </w:rPr>
        <w:t xml:space="preserve"> </w:t>
      </w:r>
      <w:smartTag w:uri="urn:schemas-microsoft-com:office:smarttags" w:element="place">
        <w:smartTag w:uri="urn:schemas-microsoft-com:office:smarttags" w:element="City">
          <w:r w:rsidRPr="00C84A0F">
            <w:rPr>
              <w:lang w:val="x-none"/>
            </w:rPr>
            <w:t>Newbury Park</w:t>
          </w:r>
        </w:smartTag>
        <w:r w:rsidRPr="00C84A0F">
          <w:rPr>
            <w:lang w:val="x-none"/>
          </w:rPr>
          <w:t xml:space="preserve">, </w:t>
        </w:r>
        <w:smartTag w:uri="urn:schemas-microsoft-com:office:smarttags" w:element="State">
          <w:r w:rsidRPr="00C84A0F">
            <w:rPr>
              <w:lang w:val="x-none"/>
            </w:rPr>
            <w:t>CA</w:t>
          </w:r>
        </w:smartTag>
      </w:smartTag>
      <w:r w:rsidRPr="00C84A0F">
        <w:rPr>
          <w:lang w:val="x-none"/>
        </w:rPr>
        <w:t xml:space="preserve">: sage. </w:t>
      </w:r>
    </w:p>
    <w:p w:rsidR="00855FEA" w:rsidRDefault="0075666E" w:rsidP="0075666E">
      <w:r>
        <w:rPr>
          <w:rFonts w:ascii="Arial" w:hAnsi="Arial" w:cs="David"/>
          <w:b/>
          <w:bCs/>
          <w:sz w:val="20"/>
          <w:rtl/>
        </w:rPr>
        <w:br w:type="page"/>
      </w:r>
    </w:p>
    <w:sectPr w:rsidR="0085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5F96"/>
    <w:multiLevelType w:val="hybridMultilevel"/>
    <w:tmpl w:val="B2DAED30"/>
    <w:lvl w:ilvl="0" w:tplc="CA78FF1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28904DEB"/>
    <w:multiLevelType w:val="hybridMultilevel"/>
    <w:tmpl w:val="7A92C2D4"/>
    <w:lvl w:ilvl="0" w:tplc="C6C64AC0">
      <w:start w:val="1"/>
      <w:numFmt w:val="decimal"/>
      <w:lvlText w:val="%1."/>
      <w:lvlJc w:val="left"/>
      <w:pPr>
        <w:tabs>
          <w:tab w:val="num" w:pos="746"/>
        </w:tabs>
        <w:ind w:left="74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B6295"/>
    <w:multiLevelType w:val="hybridMultilevel"/>
    <w:tmpl w:val="631EFDA0"/>
    <w:lvl w:ilvl="0" w:tplc="74508652">
      <w:start w:val="1"/>
      <w:numFmt w:val="decimal"/>
      <w:lvlText w:val="%1."/>
      <w:lvlJc w:val="left"/>
      <w:pPr>
        <w:tabs>
          <w:tab w:val="num" w:pos="720"/>
        </w:tabs>
        <w:ind w:left="720" w:right="720" w:hanging="360"/>
      </w:pPr>
      <w:rPr>
        <w:rFonts w:hint="cs"/>
        <w:b w:val="0"/>
        <w:b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2F"/>
    <w:rsid w:val="004D35E1"/>
    <w:rsid w:val="0075666E"/>
    <w:rsid w:val="00855FEA"/>
    <w:rsid w:val="00A26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23C1CF2-08CD-4C37-9563-DAF307C0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6E"/>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ma.education.gov.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5854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Abu saleh</dc:creator>
  <cp:keywords/>
  <dc:description/>
  <cp:lastModifiedBy>Wissam Magadley</cp:lastModifiedBy>
  <cp:revision>2</cp:revision>
  <dcterms:created xsi:type="dcterms:W3CDTF">2018-10-10T06:12:00Z</dcterms:created>
  <dcterms:modified xsi:type="dcterms:W3CDTF">2018-10-10T06:12:00Z</dcterms:modified>
</cp:coreProperties>
</file>